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08" w:rsidRDefault="00F24208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</w:p>
    <w:p w:rsidR="00F24208" w:rsidRDefault="007252FB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  <w:r>
        <w:rPr>
          <w:b/>
          <w:bCs/>
          <w:lang w:val="ro-RO"/>
        </w:rPr>
        <w:t>FIŞA DISCIPLINEI</w:t>
      </w:r>
    </w:p>
    <w:tbl>
      <w:tblPr>
        <w:tblpPr w:leftFromText="180" w:rightFromText="180" w:vertAnchor="text" w:horzAnchor="margin" w:tblpY="1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480"/>
      </w:tblGrid>
      <w:tr w:rsidR="00F24208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1. Date despre program</w:t>
            </w:r>
          </w:p>
        </w:tc>
      </w:tr>
      <w:tr w:rsidR="00F24208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1.1 Instituţia de învăţământ superior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Univeristatea „Dunărea de Jos”din Galaţi</w:t>
            </w:r>
          </w:p>
        </w:tc>
      </w:tr>
      <w:tr w:rsidR="00F24208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1.2 Facultatea / Departamentul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Facultatea Transfrontalieră</w:t>
            </w:r>
          </w:p>
        </w:tc>
      </w:tr>
      <w:tr w:rsidR="00F24208">
        <w:trPr>
          <w:trHeight w:val="1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1.3 Catedra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pt-BR"/>
              </w:rPr>
            </w:pPr>
            <w:r>
              <w:rPr>
                <w:sz w:val="20"/>
                <w:lang w:val="ro-RO"/>
              </w:rPr>
              <w:t xml:space="preserve">Departamentul de Ştiinţe socio-umane / </w:t>
            </w:r>
            <w:r>
              <w:rPr>
                <w:sz w:val="20"/>
                <w:lang w:val="pt-BR"/>
              </w:rPr>
              <w:t xml:space="preserve">Ştiinţe aplicate / </w:t>
            </w:r>
            <w:r>
              <w:rPr>
                <w:sz w:val="20"/>
                <w:lang w:val="pt-BR"/>
              </w:rPr>
              <w:t>Ştiinţele vieţii</w:t>
            </w:r>
          </w:p>
        </w:tc>
      </w:tr>
      <w:tr w:rsidR="00F24208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1.4 Domeniul de studii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bCs/>
                <w:sz w:val="20"/>
                <w:lang w:val="ro-RO"/>
              </w:rPr>
              <w:t>Relații internaținale și studii europene</w:t>
            </w:r>
          </w:p>
        </w:tc>
      </w:tr>
      <w:tr w:rsidR="00F24208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 xml:space="preserve">Licenţă </w:t>
            </w:r>
          </w:p>
        </w:tc>
      </w:tr>
      <w:tr w:rsidR="00F24208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bCs/>
                <w:sz w:val="20"/>
                <w:lang w:val="ro-RO"/>
              </w:rPr>
              <w:t>Relații internaținale și studii europene</w:t>
            </w: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p w:rsidR="00F24208" w:rsidRDefault="00F24208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tbl>
      <w:tblPr>
        <w:tblW w:w="981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8"/>
        <w:gridCol w:w="525"/>
        <w:gridCol w:w="195"/>
        <w:gridCol w:w="720"/>
        <w:gridCol w:w="465"/>
        <w:gridCol w:w="690"/>
        <w:gridCol w:w="1900"/>
        <w:gridCol w:w="860"/>
        <w:gridCol w:w="2140"/>
        <w:gridCol w:w="605"/>
      </w:tblGrid>
      <w:tr w:rsidR="00F24208">
        <w:trPr>
          <w:cantSplit/>
        </w:trPr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2. Date despre disciplină</w:t>
            </w:r>
          </w:p>
        </w:tc>
      </w:tr>
      <w:tr w:rsidR="00F24208">
        <w:trPr>
          <w:cantSplit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color w:val="0000FF"/>
                <w:sz w:val="20"/>
                <w:lang w:val="ro-RO"/>
              </w:rPr>
            </w:pPr>
            <w:r w:rsidRPr="00EF0868">
              <w:rPr>
                <w:bCs/>
                <w:sz w:val="20"/>
                <w:lang w:val="ro-RO"/>
              </w:rPr>
              <w:t>Întroducere în științe politice</w:t>
            </w:r>
          </w:p>
        </w:tc>
      </w:tr>
      <w:tr w:rsidR="00F24208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2.2 Titularul activităţilor de curs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F24208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2.3 Titularul activităţilor de seminar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EF0868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2.4 Anul de studiu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color w:val="FF0000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1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2.5 Semestrul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bCs/>
                <w:sz w:val="20"/>
                <w:lang w:val="ro-RO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2.6 Tipul de evaluare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FF0000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E.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2.7 Regimul disciplinei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color w:val="FF0000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Ob.</w:t>
            </w: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60"/>
        <w:gridCol w:w="270"/>
        <w:gridCol w:w="627"/>
        <w:gridCol w:w="1803"/>
        <w:gridCol w:w="720"/>
        <w:gridCol w:w="2520"/>
        <w:gridCol w:w="540"/>
      </w:tblGrid>
      <w:tr w:rsidR="00F24208">
        <w:trPr>
          <w:cantSplit/>
          <w:trHeight w:val="25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3. Timpul total estimat</w:t>
            </w:r>
            <w:r>
              <w:rPr>
                <w:sz w:val="20"/>
                <w:lang w:val="ro-RO"/>
              </w:rPr>
              <w:t xml:space="preserve"> (ore pe semestru al activităţilor didactice)</w:t>
            </w:r>
          </w:p>
        </w:tc>
      </w:tr>
      <w:tr w:rsidR="00EF0868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3.1 Număr de ore pe săptămână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din care:   3.2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3.3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</w:t>
            </w:r>
          </w:p>
        </w:tc>
      </w:tr>
      <w:tr w:rsidR="00EF0868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3.4 Total ore din planul de învăţământ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56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din care:   3.5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0868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3.6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28</w:t>
            </w:r>
          </w:p>
        </w:tc>
      </w:tr>
      <w:tr w:rsidR="00F2420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 xml:space="preserve">Distribuţia fondului de timp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>
              <w:rPr>
                <w:sz w:val="20"/>
                <w:lang w:val="ro-RO"/>
              </w:rPr>
              <w:t>ore</w:t>
            </w:r>
          </w:p>
        </w:tc>
      </w:tr>
      <w:tr w:rsidR="00EF086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EF0868" w:rsidRDefault="00EF08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Studiul după manual, suport de curs, bibliografie și notițe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20</w:t>
            </w:r>
          </w:p>
        </w:tc>
      </w:tr>
      <w:tr w:rsidR="00EF086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EF0868" w:rsidRDefault="00EF08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20</w:t>
            </w:r>
          </w:p>
        </w:tc>
      </w:tr>
      <w:tr w:rsidR="00EF086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EF0868" w:rsidRDefault="00EF08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 xml:space="preserve">Pregătire seminarii/laboratoare, teme, referate, portofolii și eseuri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20</w:t>
            </w:r>
          </w:p>
        </w:tc>
      </w:tr>
      <w:tr w:rsidR="00EF086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Tutoriat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5</w:t>
            </w:r>
          </w:p>
        </w:tc>
      </w:tr>
      <w:tr w:rsidR="00EF086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Default="00EF086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Examinări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68" w:rsidRPr="00DA13C9" w:rsidRDefault="00EF0868" w:rsidP="00AF700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4</w:t>
            </w:r>
          </w:p>
        </w:tc>
      </w:tr>
      <w:tr w:rsidR="00F24208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Alte activităţi...................................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F24208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4208" w:rsidRPr="00EF086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69</w:t>
            </w:r>
          </w:p>
        </w:tc>
      </w:tr>
      <w:tr w:rsidR="00F24208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pacing w:val="-4"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3.9 Total ore pe semestru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EF086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125</w:t>
            </w:r>
          </w:p>
        </w:tc>
      </w:tr>
      <w:tr w:rsidR="00F24208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pacing w:val="-4"/>
                <w:sz w:val="20"/>
                <w:lang w:val="ro-RO"/>
              </w:rPr>
              <w:t>3. 10 Numărul de credite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EF086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5</w:t>
            </w: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</w:tblGrid>
      <w:tr w:rsidR="00F24208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4. Precondiţii </w:t>
            </w:r>
            <w:r>
              <w:rPr>
                <w:sz w:val="20"/>
                <w:lang w:val="ro-RO"/>
              </w:rPr>
              <w:t>(acolo unde este cazul)</w:t>
            </w:r>
          </w:p>
        </w:tc>
      </w:tr>
      <w:tr w:rsidR="00F24208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4.1 de curriculum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n/a</w:t>
            </w:r>
          </w:p>
          <w:p w:rsidR="00F24208" w:rsidRPr="00EF086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F24208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4.2 de competenţe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n/a</w:t>
            </w:r>
          </w:p>
          <w:p w:rsidR="00F24208" w:rsidRPr="00EF086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579"/>
      </w:tblGrid>
      <w:tr w:rsidR="00F24208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5. Condiţii </w:t>
            </w:r>
            <w:r>
              <w:rPr>
                <w:sz w:val="20"/>
                <w:lang w:val="ro-RO"/>
              </w:rPr>
              <w:t xml:space="preserve">(acolo unde este cazul) </w:t>
            </w:r>
          </w:p>
        </w:tc>
      </w:tr>
      <w:tr w:rsidR="00F24208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5.1. de desfăşurare a cursului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Cursul se desfăşoară în baza bibliografiei indicate, având un caracter interactiv. Se utilizează prezentări cu ajutorul TIC.</w:t>
            </w:r>
          </w:p>
        </w:tc>
      </w:tr>
      <w:tr w:rsidR="00F24208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5.2. de desfă</w:t>
            </w:r>
            <w:r>
              <w:rPr>
                <w:rFonts w:ascii="Tahoma" w:hAnsi="Tahoma" w:cs="Tahoma"/>
                <w:sz w:val="20"/>
                <w:lang w:val="ro-RO"/>
              </w:rPr>
              <w:t>ș</w:t>
            </w:r>
            <w:r>
              <w:rPr>
                <w:sz w:val="20"/>
                <w:lang w:val="ro-RO"/>
              </w:rPr>
              <w:t>urare a seminarului/laboratorului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EF086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lang w:val="ro-RO"/>
              </w:rPr>
              <w:t>Seminarul se</w:t>
            </w:r>
            <w:r w:rsidRPr="00EF0868">
              <w:rPr>
                <w:sz w:val="20"/>
                <w:lang w:val="ro-RO"/>
              </w:rPr>
              <w:t xml:space="preserve"> desfăşoară pe baza bibliografiei indicate. Sarcinile de lucru se rezolvă atât în echipe de lucru cât şi individual, sub îndrumarea şi controlul cadrului didactic.</w:t>
            </w: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F24208" w:rsidRDefault="007252FB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br w:type="page"/>
      </w:r>
    </w:p>
    <w:p w:rsidR="00F24208" w:rsidRDefault="00F2420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4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647"/>
        <w:gridCol w:w="9181"/>
      </w:tblGrid>
      <w:tr w:rsidR="00F24208">
        <w:trPr>
          <w:trHeight w:val="26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6. Competenţele specifice acumulate</w:t>
            </w:r>
            <w:r>
              <w:rPr>
                <w:sz w:val="20"/>
                <w:lang w:val="ro-RO"/>
              </w:rPr>
              <w:t xml:space="preserve"> </w:t>
            </w:r>
          </w:p>
        </w:tc>
      </w:tr>
      <w:tr w:rsidR="00F24208">
        <w:trPr>
          <w:trHeight w:val="20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Competenţe profesionale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EF0868" w:rsidRDefault="007252F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>Cunoașterea conceptelor,</w:t>
            </w:r>
            <w:r w:rsidRPr="00EF0868">
              <w:rPr>
                <w:sz w:val="20"/>
                <w:szCs w:val="20"/>
                <w:lang w:val="ro-RO"/>
              </w:rPr>
              <w:t xml:space="preserve"> ideilor, doctrinelor politice;</w:t>
            </w:r>
          </w:p>
          <w:p w:rsidR="00F24208" w:rsidRPr="00EF0868" w:rsidRDefault="007252F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 xml:space="preserve">Aplicarea unor deprinderi de analiză a </w:t>
            </w:r>
            <w:r w:rsidRPr="00EF0868">
              <w:rPr>
                <w:sz w:val="20"/>
                <w:szCs w:val="20"/>
                <w:lang w:val="ro-RO"/>
              </w:rPr>
              <w:t>conceptelor, ideilor, instituțiilor proprii științei politice</w:t>
            </w:r>
            <w:r w:rsidRPr="00EF0868">
              <w:rPr>
                <w:sz w:val="20"/>
                <w:szCs w:val="20"/>
                <w:lang w:val="ro-RO"/>
              </w:rPr>
              <w:t>;</w:t>
            </w:r>
          </w:p>
          <w:p w:rsidR="00F24208" w:rsidRPr="00EF0868" w:rsidRDefault="007252F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 xml:space="preserve">Reflecția critică </w:t>
            </w:r>
            <w:r w:rsidRPr="00EF0868">
              <w:rPr>
                <w:sz w:val="20"/>
                <w:szCs w:val="20"/>
                <w:lang w:val="ro-RO"/>
              </w:rPr>
              <w:t>a conceptelor, ideilor, instituțiilor proprii științei politice</w:t>
            </w:r>
            <w:r w:rsidRPr="00EF0868">
              <w:rPr>
                <w:sz w:val="20"/>
                <w:szCs w:val="20"/>
                <w:lang w:val="ro-RO"/>
              </w:rPr>
              <w:t>;</w:t>
            </w:r>
          </w:p>
          <w:p w:rsidR="00F24208" w:rsidRPr="00EF0868" w:rsidRDefault="007252F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>Demonstrarea abilităților de analiză cr</w:t>
            </w:r>
            <w:r w:rsidRPr="00EF0868">
              <w:rPr>
                <w:sz w:val="20"/>
                <w:szCs w:val="20"/>
                <w:lang w:val="ro-RO"/>
              </w:rPr>
              <w:t>itic-constructivă a conceptelor, abordărilor şi teoriilor din domeniul ș</w:t>
            </w:r>
            <w:r w:rsidRPr="00EF0868">
              <w:rPr>
                <w:sz w:val="20"/>
                <w:szCs w:val="20"/>
                <w:lang w:val="ro-RO"/>
              </w:rPr>
              <w:t>tiințelor politice</w:t>
            </w:r>
            <w:r w:rsidRPr="00EF0868">
              <w:rPr>
                <w:sz w:val="20"/>
                <w:szCs w:val="20"/>
                <w:lang w:val="ro-RO"/>
              </w:rPr>
              <w:t>;</w:t>
            </w:r>
          </w:p>
          <w:p w:rsidR="00F24208" w:rsidRPr="00EF0868" w:rsidRDefault="007252FB">
            <w:pPr>
              <w:widowControl/>
              <w:numPr>
                <w:ilvl w:val="0"/>
                <w:numId w:val="2"/>
              </w:numPr>
              <w:tabs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 xml:space="preserve">Utilizarea adecvată a cunoştinţelor, deprinderilor practice şi metode ştiinţifico-teoretice în activitatea </w:t>
            </w:r>
            <w:r w:rsidRPr="00EF0868">
              <w:rPr>
                <w:sz w:val="20"/>
                <w:szCs w:val="20"/>
                <w:lang w:val="ro-RO"/>
              </w:rPr>
              <w:t>profesională.</w:t>
            </w:r>
          </w:p>
        </w:tc>
      </w:tr>
      <w:tr w:rsidR="00F24208" w:rsidTr="00DB57C5">
        <w:trPr>
          <w:trHeight w:val="16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Competenţe transversale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EF0868" w:rsidRDefault="007252FB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bCs/>
                <w:sz w:val="20"/>
                <w:szCs w:val="20"/>
                <w:lang w:val="ro-RO"/>
              </w:rPr>
            </w:pPr>
            <w:r w:rsidRPr="00EF0868">
              <w:rPr>
                <w:bCs/>
                <w:sz w:val="20"/>
                <w:szCs w:val="20"/>
                <w:lang w:val="ro-RO"/>
              </w:rPr>
              <w:t xml:space="preserve">Capacitate de analiză şi sinteză în cadrul studiilor </w:t>
            </w:r>
            <w:r w:rsidRPr="00EF0868">
              <w:rPr>
                <w:bCs/>
                <w:sz w:val="20"/>
                <w:szCs w:val="20"/>
                <w:lang w:val="ro-RO"/>
              </w:rPr>
              <w:t>teoriilor politice</w:t>
            </w:r>
            <w:r w:rsidRPr="00EF0868">
              <w:rPr>
                <w:bCs/>
                <w:sz w:val="20"/>
                <w:szCs w:val="20"/>
                <w:lang w:val="ro-RO"/>
              </w:rPr>
              <w:t>;</w:t>
            </w:r>
          </w:p>
          <w:p w:rsidR="00F24208" w:rsidRPr="00EF0868" w:rsidRDefault="007252FB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 xml:space="preserve">Abordare multidisciplinară a </w:t>
            </w:r>
            <w:r w:rsidRPr="00EF0868">
              <w:rPr>
                <w:sz w:val="20"/>
                <w:szCs w:val="20"/>
                <w:lang w:val="ro-RO"/>
              </w:rPr>
              <w:t>politicilor și instituțiilor sale</w:t>
            </w:r>
            <w:r w:rsidRPr="00EF0868">
              <w:rPr>
                <w:sz w:val="20"/>
                <w:szCs w:val="20"/>
                <w:lang w:val="ro-RO"/>
              </w:rPr>
              <w:t>;</w:t>
            </w:r>
          </w:p>
          <w:p w:rsidR="00F24208" w:rsidRPr="00EF0868" w:rsidRDefault="007252FB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 xml:space="preserve">Autoevaluarea nevoii de continuare a formării profesionale, prin valorificarea oportunităţilor de identificare şi asimilare de noi cunoştinţe în domeniul </w:t>
            </w:r>
            <w:r w:rsidRPr="00EF0868">
              <w:rPr>
                <w:sz w:val="20"/>
                <w:szCs w:val="20"/>
                <w:lang w:val="ro-RO"/>
              </w:rPr>
              <w:t>științelor politice</w:t>
            </w:r>
            <w:r w:rsidRPr="00EF0868">
              <w:rPr>
                <w:sz w:val="20"/>
                <w:szCs w:val="20"/>
                <w:lang w:val="ro-RO"/>
              </w:rPr>
              <w:t>;</w:t>
            </w:r>
          </w:p>
          <w:p w:rsidR="00F24208" w:rsidRPr="00EF0868" w:rsidRDefault="007252FB">
            <w:pPr>
              <w:widowControl/>
              <w:numPr>
                <w:ilvl w:val="0"/>
                <w:numId w:val="2"/>
              </w:numPr>
              <w:tabs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sz w:val="20"/>
                <w:lang w:val="ro-RO"/>
              </w:rPr>
            </w:pPr>
            <w:r w:rsidRPr="00EF0868">
              <w:rPr>
                <w:sz w:val="20"/>
                <w:szCs w:val="20"/>
                <w:lang w:val="ro-RO"/>
              </w:rPr>
              <w:t>Implicarea în activităţi de cercetare prin documentare, investigare şi constatare</w:t>
            </w:r>
            <w:r w:rsidRPr="00EF0868">
              <w:rPr>
                <w:sz w:val="20"/>
                <w:szCs w:val="20"/>
                <w:lang w:val="ro-RO"/>
              </w:rPr>
              <w:t>.</w:t>
            </w: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168"/>
        <w:gridCol w:w="6660"/>
      </w:tblGrid>
      <w:tr w:rsidR="00F24208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7. Obiectivele disciplinei </w:t>
            </w:r>
            <w:r>
              <w:rPr>
                <w:sz w:val="20"/>
                <w:lang w:val="ro-RO"/>
              </w:rPr>
              <w:t>(reieşind din grila competenţelor specifice acumulate)</w:t>
            </w:r>
          </w:p>
        </w:tc>
      </w:tr>
      <w:tr w:rsidR="00F24208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208" w:rsidRDefault="007252FB" w:rsidP="00DB57C5">
            <w:pPr>
              <w:widowControl/>
              <w:tabs>
                <w:tab w:val="left" w:pos="720"/>
              </w:tabs>
              <w:adjustRightInd/>
              <w:spacing w:line="240" w:lineRule="auto"/>
              <w:jc w:val="left"/>
              <w:textAlignment w:val="auto"/>
              <w:rPr>
                <w:color w:val="0000FF"/>
                <w:sz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 xml:space="preserve">Familiarizarea </w:t>
            </w:r>
            <w:r w:rsidRPr="00DB57C5">
              <w:rPr>
                <w:sz w:val="20"/>
                <w:szCs w:val="20"/>
                <w:lang w:val="ro-RO"/>
              </w:rPr>
              <w:t xml:space="preserve">studenților </w:t>
            </w:r>
            <w:r w:rsidRPr="00DB57C5">
              <w:rPr>
                <w:sz w:val="20"/>
                <w:szCs w:val="20"/>
                <w:lang w:val="ro-RO"/>
              </w:rPr>
              <w:t xml:space="preserve">cu studiul sistematic al fenomenelor politice, cu conceptele teoretice și metodologia specifice </w:t>
            </w:r>
            <w:r w:rsidRPr="00DB57C5">
              <w:rPr>
                <w:sz w:val="20"/>
                <w:szCs w:val="20"/>
                <w:lang w:val="ro-RO"/>
              </w:rPr>
              <w:t>științei politice</w:t>
            </w:r>
            <w:r w:rsidRPr="00DB57C5">
              <w:rPr>
                <w:sz w:val="20"/>
                <w:szCs w:val="20"/>
                <w:lang w:val="ro-RO"/>
              </w:rPr>
              <w:t xml:space="preserve"> </w:t>
            </w:r>
            <w:r w:rsidRPr="00DB57C5">
              <w:rPr>
                <w:sz w:val="20"/>
                <w:szCs w:val="20"/>
                <w:lang w:val="ro-RO"/>
              </w:rPr>
              <w:t xml:space="preserve"> etc.</w:t>
            </w:r>
          </w:p>
        </w:tc>
      </w:tr>
      <w:tr w:rsidR="00F24208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7.2 Obiectivele specifice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cunoașterea fundamentului ș</w:t>
            </w:r>
            <w:r w:rsidRPr="00DB57C5">
              <w:rPr>
                <w:sz w:val="20"/>
                <w:lang w:val="ro-RO"/>
              </w:rPr>
              <w:t>tiințelor politice</w:t>
            </w:r>
            <w:r w:rsidRPr="00DB57C5">
              <w:rPr>
                <w:sz w:val="20"/>
                <w:lang w:val="ro-RO"/>
              </w:rPr>
              <w:t>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înțelegerea proces</w:t>
            </w:r>
            <w:r w:rsidRPr="00DB57C5">
              <w:rPr>
                <w:sz w:val="20"/>
                <w:lang w:val="ro-RO"/>
              </w:rPr>
              <w:t>elor politice și de control social</w:t>
            </w:r>
            <w:r w:rsidRPr="00DB57C5">
              <w:rPr>
                <w:sz w:val="20"/>
                <w:lang w:val="ro-RO"/>
              </w:rPr>
              <w:t>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cunoașterea sistem</w:t>
            </w:r>
            <w:r w:rsidRPr="00DB57C5">
              <w:rPr>
                <w:sz w:val="20"/>
                <w:lang w:val="ro-RO"/>
              </w:rPr>
              <w:t>elor electorale și a doctrinelor poltice</w:t>
            </w:r>
            <w:r w:rsidRPr="00DB57C5">
              <w:rPr>
                <w:sz w:val="20"/>
                <w:lang w:val="ro-RO"/>
              </w:rPr>
              <w:t>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 xml:space="preserve">înțelegerea rolului </w:t>
            </w:r>
            <w:r w:rsidRPr="00DB57C5">
              <w:rPr>
                <w:sz w:val="20"/>
                <w:lang w:val="ro-RO"/>
              </w:rPr>
              <w:t xml:space="preserve">partidelor politice și </w:t>
            </w:r>
            <w:r w:rsidRPr="00DB57C5">
              <w:rPr>
                <w:sz w:val="20"/>
                <w:lang w:val="ro-RO"/>
              </w:rPr>
              <w:t>a mișcărilor poltice în statul de drept</w:t>
            </w:r>
            <w:r w:rsidRPr="00DB57C5">
              <w:rPr>
                <w:sz w:val="20"/>
                <w:lang w:val="ro-RO"/>
              </w:rPr>
              <w:t>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îmbunătățirea capacităților analitice ale studenților;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exprimarea cunoștințelor obținute pe durata studierii disciplinei într-un mod coerent și cu folosirea terminologiei specifice acesteia;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abilitatea de a supune u</w:t>
            </w:r>
            <w:r w:rsidRPr="00DB57C5">
              <w:rPr>
                <w:sz w:val="20"/>
                <w:lang w:val="ro-RO"/>
              </w:rPr>
              <w:t>nei aprecieri critice însușirile unor argumente particulare și de a opera o alegere motivată între soluții alternative sau argumente;</w:t>
            </w:r>
          </w:p>
          <w:p w:rsidR="00F24208" w:rsidRPr="00DB57C5" w:rsidRDefault="007252FB" w:rsidP="00DB57C5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left" w:pos="376"/>
              </w:tabs>
              <w:adjustRightInd/>
              <w:spacing w:line="240" w:lineRule="auto"/>
              <w:ind w:left="376"/>
              <w:jc w:val="left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lang w:val="ro-RO"/>
              </w:rPr>
              <w:t>asumarea individuală a responsabilității pentru dezvoltarea profesională ulterioară</w:t>
            </w: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FF"/>
                <w:sz w:val="20"/>
                <w:lang w:val="ro-RO"/>
              </w:rPr>
            </w:pP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2950"/>
        <w:gridCol w:w="1665"/>
      </w:tblGrid>
      <w:tr w:rsidR="00F24208">
        <w:trPr>
          <w:trHeight w:val="254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8. Conţinuturi</w:t>
            </w:r>
          </w:p>
        </w:tc>
      </w:tr>
      <w:tr w:rsidR="00F24208">
        <w:trPr>
          <w:trHeight w:val="5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8. 1 Curs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Metode de</w:t>
            </w:r>
            <w:r>
              <w:rPr>
                <w:sz w:val="20"/>
                <w:lang w:val="ro-RO"/>
              </w:rPr>
              <w:t xml:space="preserve"> predare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Observaţii</w:t>
            </w:r>
          </w:p>
        </w:tc>
      </w:tr>
      <w:tr w:rsidR="00F24208">
        <w:trPr>
          <w:trHeight w:val="13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DB57C5" w:rsidRDefault="007252FB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Introducere în domeniul științei politice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DB57C5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Curs interactiv, descoperirea dirijată</w:t>
            </w:r>
            <w:r w:rsidRPr="00DB57C5">
              <w:rPr>
                <w:sz w:val="20"/>
                <w:szCs w:val="20"/>
                <w:lang w:val="ro-RO"/>
              </w:rPr>
              <w:t xml:space="preserve">, </w:t>
            </w:r>
            <w:r w:rsidRPr="00DB57C5">
              <w:rPr>
                <w:sz w:val="20"/>
                <w:szCs w:val="20"/>
                <w:lang w:val="ro-RO"/>
              </w:rPr>
              <w:t xml:space="preserve">explicație, </w:t>
            </w:r>
            <w:r w:rsidRPr="00DB57C5">
              <w:rPr>
                <w:sz w:val="20"/>
                <w:szCs w:val="20"/>
                <w:lang w:val="ro-RO"/>
              </w:rPr>
              <w:t>instructaj, studierea cazurilor din practica judiciară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DB57C5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 xml:space="preserve">Se </w:t>
            </w:r>
            <w:r w:rsidRPr="00DB57C5">
              <w:rPr>
                <w:sz w:val="20"/>
                <w:szCs w:val="20"/>
                <w:lang w:val="ro-RO"/>
              </w:rPr>
              <w:t xml:space="preserve">aplică </w:t>
            </w:r>
            <w:r w:rsidRPr="00DB57C5">
              <w:rPr>
                <w:sz w:val="20"/>
                <w:szCs w:val="20"/>
                <w:lang w:val="ro-RO"/>
              </w:rPr>
              <w:t xml:space="preserve">pentru toate </w:t>
            </w:r>
            <w:r w:rsidRPr="00DB57C5">
              <w:rPr>
                <w:sz w:val="20"/>
                <w:szCs w:val="20"/>
                <w:lang w:val="ro-RO"/>
              </w:rPr>
              <w:t xml:space="preserve">temele de </w:t>
            </w:r>
            <w:r w:rsidRPr="00DB57C5">
              <w:rPr>
                <w:sz w:val="20"/>
                <w:szCs w:val="20"/>
                <w:lang w:val="ro-RO"/>
              </w:rPr>
              <w:t>curs</w:t>
            </w:r>
          </w:p>
        </w:tc>
      </w:tr>
      <w:tr w:rsidR="00F24208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DB57C5" w:rsidRDefault="007252FB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 xml:space="preserve">Abordări teoretice și metodologice în </w:t>
            </w:r>
            <w:r w:rsidRPr="00DB57C5">
              <w:rPr>
                <w:sz w:val="20"/>
                <w:szCs w:val="20"/>
                <w:lang w:val="ro-RO"/>
              </w:rPr>
              <w:t>știința politică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DB57C5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DB57C5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F24208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Pr="00DB57C5" w:rsidRDefault="007252FB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Concepte fundamentale în știința politică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DB57C5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DB57C5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Conceptul și trăsăturile statului – 4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Regimurile și procese politice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 xml:space="preserve">Puterea publică în stat </w:t>
            </w:r>
            <w:r w:rsidRPr="00DB57C5">
              <w:rPr>
                <w:sz w:val="20"/>
                <w:szCs w:val="20"/>
                <w:lang w:val="ro-RO"/>
              </w:rPr>
              <w:t>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 w:rsidRP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Președintele statului – garantul Constituției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 w:rsidRP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Parlamentul – organul legislativ al statului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 w:rsidRP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Politici publice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Partidele şi mişcările social-politice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lastRenderedPageBreak/>
              <w:t>Cultura politică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Alegerile și referendum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 w:eastAsia="zh-CN"/>
              </w:rPr>
              <w:t xml:space="preserve">Politica şi relațiile internaționale. </w:t>
            </w:r>
            <w:r w:rsidRPr="00DB57C5">
              <w:rPr>
                <w:sz w:val="20"/>
                <w:szCs w:val="20"/>
                <w:lang w:val="ro-RO"/>
              </w:rPr>
              <w:t>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DB57C5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DB57C5">
        <w:trPr>
          <w:trHeight w:val="111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Bibliografie</w:t>
            </w:r>
          </w:p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:rsidR="00B50063" w:rsidRPr="00AC53E3" w:rsidRDefault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color w:val="auto"/>
                <w:sz w:val="20"/>
                <w:lang w:val="ro-RO"/>
              </w:rPr>
              <w:t>Brian W.Hogwood, Lewis A.Gunn, Introducere în politicile publice, Editura Trei, București, 2000;</w:t>
            </w:r>
          </w:p>
          <w:p w:rsidR="00B50063" w:rsidRDefault="00B50063" w:rsidP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Claudiu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Crăciun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Paul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Colins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– 2008,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Managementul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politicilor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publice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Transformari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si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perspective,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Polirom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Iași</w:t>
            </w:r>
            <w:proofErr w:type="spellEnd"/>
          </w:p>
          <w:p w:rsidR="00B50063" w:rsidRPr="00B50063" w:rsidRDefault="00B50063" w:rsidP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Edmund Burke,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Reflecţii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asupra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Revoluţiei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din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Franţa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Nemira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Bucureşti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>, 2000;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Laurentiu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Stefan-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Scalat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coord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.),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Dicționar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de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scrieri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politice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fundamentale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</w:t>
            </w:r>
            <w:r>
              <w:rPr>
                <w:rFonts w:ascii="Times New Roman" w:hAnsi="Times New Roman"/>
                <w:color w:val="auto"/>
                <w:sz w:val="20"/>
              </w:rPr>
              <w:t>ditura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Humanitas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Bucureşti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, 202</w:t>
            </w:r>
            <w:r w:rsidRPr="00B50063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:rsidR="00B50063" w:rsidRPr="00AC53E3" w:rsidRDefault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Michael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Howlett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M. Ramesh – 2004,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Studiul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politicilor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publice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Epigraf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Chişinău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:rsidR="00B50063" w:rsidRPr="00AC53E3" w:rsidRDefault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sz w:val="20"/>
                <w:lang w:val="ro-RO"/>
              </w:rPr>
              <w:t>Ostavciuc</w:t>
            </w:r>
            <w:r w:rsidRPr="00AC53E3">
              <w:rPr>
                <w:rFonts w:ascii="Times New Roman" w:hAnsi="Times New Roman"/>
                <w:sz w:val="20"/>
                <w:lang w:val="ro-RO"/>
              </w:rPr>
              <w:t>, Dinu; Păun</w:t>
            </w:r>
            <w:r w:rsidRPr="00AC53E3">
              <w:rPr>
                <w:rFonts w:ascii="Times New Roman" w:hAnsi="Times New Roman"/>
                <w:sz w:val="20"/>
                <w:lang w:val="ro-RO"/>
              </w:rPr>
              <w:t xml:space="preserve"> </w:t>
            </w:r>
            <w:r w:rsidRPr="00AC53E3">
              <w:rPr>
                <w:rFonts w:ascii="Times New Roman" w:hAnsi="Times New Roman"/>
                <w:sz w:val="20"/>
                <w:lang w:val="ro-RO"/>
              </w:rPr>
              <w:t>Cătălin-Bogdan. Politica UE privind instrumentele juridice și organismele nou create în lupta împotriva spălării banilor și finanțării terorismului. În: Protecţia drepturilor şi libertăţilor fundamentale ale omului în procesul asigurării ordinii şi securităţii publice. Conferință ştiinţifico-practică internațională. 09.12.2021. Chişinău, Republica Moldova, 2022, pp. 138-143.</w:t>
            </w:r>
          </w:p>
          <w:p w:rsidR="00B50063" w:rsidRPr="00AC53E3" w:rsidRDefault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color w:val="auto"/>
                <w:sz w:val="20"/>
                <w:lang w:val="ro-RO"/>
              </w:rPr>
              <w:t>Peters, G., B. Institutional theory in political science. The new institutionalism London: Continuum2012;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Platon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Republica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în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Opere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vol.V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Ştiinţifică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Enciclopedică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Bucureşti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>, 1986;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Raffaella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Gherardi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Politica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statele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Institutul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European,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Iaşi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>, 2009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Stephane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Rials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Declaraţia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drepturilor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omului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ale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cetăţeanului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Polirom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Iaşi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, 2002, pp. 364-371, 13-17.</w:t>
            </w:r>
          </w:p>
          <w:p w:rsidR="00DB57C5" w:rsidRDefault="00DB57C5">
            <w:pPr>
              <w:pStyle w:val="Body"/>
              <w:tabs>
                <w:tab w:val="left" w:pos="425"/>
              </w:tabs>
              <w:rPr>
                <w:rFonts w:ascii="Times New Roman" w:hAnsi="Times New Roman"/>
                <w:color w:val="0000FF"/>
                <w:sz w:val="20"/>
                <w:highlight w:val="yellow"/>
                <w:lang w:val="ro-RO"/>
              </w:rPr>
            </w:pPr>
          </w:p>
          <w:p w:rsidR="00DB57C5" w:rsidRDefault="00DB57C5">
            <w:pPr>
              <w:pStyle w:val="Body"/>
              <w:rPr>
                <w:sz w:val="20"/>
                <w:lang w:val="ro-RO"/>
              </w:rPr>
            </w:pP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8. 2 Seminar/laborator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>Metode de predare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C5" w:rsidRPr="00AC53E3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>Observaţii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Introducere în domeniul științei politice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Analiza comparativă, dezbateri euristice, studiu de caz, discuții, formualrea întrebărilor de cunoaștere, exercițiu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Se utilizează pentru toate seminarele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Abordări teoretice și metodologice în știința politică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Concepte fundamentale în știința politică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Conceptul și trăsăturile statului – 4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Regimurile și procese politice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 xml:space="preserve">Puterea publică în stat </w:t>
            </w:r>
            <w:r w:rsidRPr="00DB57C5">
              <w:rPr>
                <w:sz w:val="20"/>
                <w:szCs w:val="20"/>
                <w:lang w:val="ro-RO"/>
              </w:rPr>
              <w:t>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Președintele statului – garantul Constituției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Parlamentul – organul legislativ al statului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Politici publice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Partidele şi mişcările social-politice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Cultura politică 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/>
              </w:rPr>
              <w:t>Alegerile și referendum –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Pr="00DB57C5" w:rsidRDefault="00DB57C5" w:rsidP="00DB57C5">
            <w:pPr>
              <w:pStyle w:val="a8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B57C5">
              <w:rPr>
                <w:sz w:val="20"/>
                <w:szCs w:val="20"/>
                <w:lang w:val="ro-RO" w:eastAsia="zh-CN"/>
              </w:rPr>
              <w:t xml:space="preserve">Politica şi relațiile </w:t>
            </w:r>
            <w:r>
              <w:rPr>
                <w:sz w:val="20"/>
                <w:szCs w:val="20"/>
                <w:lang w:val="ro-RO" w:eastAsia="zh-CN"/>
              </w:rPr>
              <w:t xml:space="preserve">internaționale </w:t>
            </w:r>
            <w:r w:rsidRPr="00DB57C5">
              <w:rPr>
                <w:sz w:val="20"/>
                <w:szCs w:val="20"/>
                <w:lang w:val="ro-RO"/>
              </w:rPr>
              <w:t>- 2 ore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Pr="00AC53E3" w:rsidRDefault="00DB57C5" w:rsidP="00AF700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szCs w:val="20"/>
                <w:lang w:val="ro-RO"/>
              </w:rPr>
              <w:t>Idem</w:t>
            </w:r>
          </w:p>
        </w:tc>
      </w:tr>
      <w:tr w:rsidR="00DB57C5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color w:val="0000FF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C5" w:rsidRDefault="00DB57C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</w:p>
        </w:tc>
      </w:tr>
      <w:tr w:rsidR="00DB57C5">
        <w:trPr>
          <w:trHeight w:val="7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Bibliografie</w:t>
            </w:r>
          </w:p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:rsidR="00B50063" w:rsidRPr="00AC53E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color w:val="auto"/>
                <w:sz w:val="20"/>
                <w:lang w:val="ro-RO"/>
              </w:rPr>
              <w:t>Brian W.Hogwood, Lewis A.Gunn, Introducere în politicile publice, Editura Trei, București, 2000;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Laurentiu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Stefan-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Scalat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coord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.),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Dicționar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de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scrieri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politice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fundamentale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</w:t>
            </w:r>
            <w:r>
              <w:rPr>
                <w:rFonts w:ascii="Times New Roman" w:hAnsi="Times New Roman"/>
                <w:color w:val="auto"/>
                <w:sz w:val="20"/>
              </w:rPr>
              <w:t>ditura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Humanitas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Bucureşti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, 202</w:t>
            </w:r>
            <w:r w:rsidRPr="00B50063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:rsidR="00B50063" w:rsidRPr="00AC53E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Michael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Howlett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M. Ramesh – 2004,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Studiul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politicilor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publice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Epigraf</w:t>
            </w:r>
            <w:proofErr w:type="spellEnd"/>
            <w:r w:rsidRPr="00AC53E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AC53E3">
              <w:rPr>
                <w:rFonts w:ascii="Times New Roman" w:hAnsi="Times New Roman"/>
                <w:color w:val="auto"/>
                <w:sz w:val="20"/>
              </w:rPr>
              <w:t>Chişinău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:rsidR="00B50063" w:rsidRPr="00AC53E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AC53E3">
              <w:rPr>
                <w:rFonts w:ascii="Times New Roman" w:hAnsi="Times New Roman"/>
                <w:sz w:val="20"/>
                <w:lang w:val="ro-RO"/>
              </w:rPr>
              <w:t>Ostavciuc, Dinu; Păun Cătălin-Bogdan. Politica UE privind instrumentele juridice și organismele nou create în lupta împotriva spălării banilor și finanțării terorismului. În: Protecţia drepturilor şi libertăţilor fundamentale ale omului în procesul asigurării ordinii şi securităţii publice. Conferință ştiinţifico-practică internațională. 09.12.2021. Chişinău, Republica Moldova, 2022, pp. 138-143.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bookmarkStart w:id="0" w:name="_GoBack"/>
            <w:bookmarkEnd w:id="0"/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Platon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Republica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în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Opere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vol.V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Ştiinţifică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Enciclopedică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Bucureşti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>, 1986;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Raffaella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Gherardi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Politica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statele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Institutul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European,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Iaşi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>, 2009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50063" w:rsidRPr="00B50063" w:rsidRDefault="00B50063" w:rsidP="00B50063">
            <w:pPr>
              <w:pStyle w:val="Body"/>
              <w:numPr>
                <w:ilvl w:val="0"/>
                <w:numId w:val="12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Stephane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Rials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Declaraţia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drepturilor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omului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şi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ale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cetăţeanului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50063">
              <w:rPr>
                <w:rFonts w:ascii="Times New Roman" w:hAnsi="Times New Roman"/>
                <w:color w:val="auto"/>
                <w:sz w:val="20"/>
              </w:rPr>
              <w:t>Polirom</w:t>
            </w:r>
            <w:proofErr w:type="spellEnd"/>
            <w:r w:rsidRPr="00B50063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Iaşi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, 2002, pp. 364-371, 13-17.</w:t>
            </w:r>
          </w:p>
          <w:p w:rsidR="00DB57C5" w:rsidRDefault="00DB57C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F24208" w:rsidRDefault="00F24208">
      <w:pPr>
        <w:widowControl/>
        <w:adjustRightInd/>
        <w:spacing w:line="240" w:lineRule="auto"/>
        <w:ind w:left="360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F24208">
        <w:trPr>
          <w:trHeight w:val="169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lastRenderedPageBreak/>
              <w:t xml:space="preserve">9. Coroborarea conţinuturilor disciplinei cu aşteptările </w:t>
            </w:r>
            <w:r>
              <w:rPr>
                <w:b/>
                <w:sz w:val="20"/>
                <w:lang w:val="ro-RO"/>
              </w:rPr>
              <w:t>reprezentanţilor comunităţii epistemice, asociaţiilor profesionale şi angajatori reprezentativi din domeniul aferent programului</w:t>
            </w:r>
          </w:p>
        </w:tc>
      </w:tr>
      <w:tr w:rsidR="00F24208">
        <w:trPr>
          <w:trHeight w:val="4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S-a asigurat concordanţa cu cerinţele </w:t>
            </w:r>
            <w:r>
              <w:rPr>
                <w:sz w:val="20"/>
                <w:lang w:val="ro-RO"/>
              </w:rPr>
              <w:t xml:space="preserve">politicilor </w:t>
            </w:r>
            <w:r>
              <w:rPr>
                <w:sz w:val="20"/>
                <w:lang w:val="ro-RO"/>
              </w:rPr>
              <w:t xml:space="preserve">atît din România, cît şi din Republica Moldova, potrivit </w:t>
            </w:r>
            <w:r>
              <w:rPr>
                <w:sz w:val="20"/>
                <w:lang w:val="ro-RO"/>
              </w:rPr>
              <w:t xml:space="preserve">exigențelor </w:t>
            </w:r>
            <w:r>
              <w:rPr>
                <w:sz w:val="20"/>
                <w:lang w:val="ro-RO"/>
              </w:rPr>
              <w:t>şi stan</w:t>
            </w:r>
            <w:r>
              <w:rPr>
                <w:sz w:val="20"/>
                <w:lang w:val="ro-RO"/>
              </w:rPr>
              <w:t xml:space="preserve">dardelor Uniunii Europene sub aspectul </w:t>
            </w:r>
            <w:r>
              <w:rPr>
                <w:sz w:val="20"/>
                <w:lang w:val="ro-RO"/>
              </w:rPr>
              <w:t>doctrinelor politice</w:t>
            </w:r>
            <w:r>
              <w:rPr>
                <w:sz w:val="20"/>
                <w:lang w:val="ro-RO"/>
              </w:rPr>
              <w:t>.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>Conținuturile disciplinei au fost corelate așteptărilor angajatorilor și asociațiilor profesionale în domeniu aferent programului de studiu</w:t>
            </w:r>
            <w:r>
              <w:rPr>
                <w:sz w:val="20"/>
                <w:lang w:val="ro-RO"/>
              </w:rPr>
              <w:t>.</w:t>
            </w: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700"/>
        <w:gridCol w:w="3600"/>
        <w:gridCol w:w="1440"/>
      </w:tblGrid>
      <w:tr w:rsidR="00F24208">
        <w:trPr>
          <w:trHeight w:val="232"/>
        </w:trPr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10. Evaluare</w:t>
            </w:r>
          </w:p>
        </w:tc>
      </w:tr>
      <w:tr w:rsidR="00F24208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Tip activitate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10.1 Criterii de </w:t>
            </w:r>
            <w:r>
              <w:rPr>
                <w:sz w:val="20"/>
                <w:lang w:val="ro-RO"/>
              </w:rPr>
              <w:t>evaluare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10.2 Metode de evaluare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10.3 Pondere din nota finală</w:t>
            </w:r>
          </w:p>
        </w:tc>
      </w:tr>
      <w:tr w:rsidR="00F24208">
        <w:trPr>
          <w:trHeight w:val="1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10.4 Curs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 xml:space="preserve">Examen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>50%</w:t>
            </w:r>
          </w:p>
        </w:tc>
      </w:tr>
      <w:tr w:rsidR="00F24208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F24208">
        <w:trPr>
          <w:trHeight w:val="1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10.5 Seminar/laborator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>Evaluarea continuă, potrivit tematicii seminarelot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7252FB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>50%</w:t>
            </w:r>
          </w:p>
        </w:tc>
      </w:tr>
      <w:tr w:rsidR="00F24208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F24208">
        <w:trPr>
          <w:trHeight w:val="17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10.6 Standard minim de performanţă</w:t>
            </w:r>
          </w:p>
        </w:tc>
      </w:tr>
      <w:tr w:rsidR="00F24208">
        <w:trPr>
          <w:trHeight w:val="471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8" w:rsidRPr="00AC53E3" w:rsidRDefault="007252FB">
            <w:pPr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AC53E3">
              <w:rPr>
                <w:sz w:val="20"/>
                <w:lang w:val="ro-RO"/>
              </w:rPr>
              <w:t>Aprecierea activității la seminare minim cu</w:t>
            </w:r>
            <w:r w:rsidRPr="00AC53E3">
              <w:rPr>
                <w:sz w:val="20"/>
                <w:lang w:val="ro-RO"/>
              </w:rPr>
              <w:t xml:space="preserve"> nota ”5”.</w:t>
            </w: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F24208" w:rsidRDefault="00F24208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448"/>
        <w:gridCol w:w="1980"/>
        <w:gridCol w:w="1800"/>
        <w:gridCol w:w="3420"/>
      </w:tblGrid>
      <w:tr w:rsidR="00F24208">
        <w:tc>
          <w:tcPr>
            <w:tcW w:w="2448" w:type="dxa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Data completării         </w:t>
            </w:r>
          </w:p>
        </w:tc>
        <w:tc>
          <w:tcPr>
            <w:tcW w:w="3780" w:type="dxa"/>
            <w:gridSpan w:val="2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Semnătura titularului de curs</w:t>
            </w:r>
          </w:p>
        </w:tc>
        <w:tc>
          <w:tcPr>
            <w:tcW w:w="3420" w:type="dxa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Semnătura titularului de seminar </w:t>
            </w:r>
          </w:p>
        </w:tc>
      </w:tr>
      <w:tr w:rsidR="00F24208">
        <w:tc>
          <w:tcPr>
            <w:tcW w:w="2448" w:type="dxa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F24208">
        <w:tc>
          <w:tcPr>
            <w:tcW w:w="2448" w:type="dxa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F24208">
        <w:trPr>
          <w:trHeight w:val="258"/>
        </w:trPr>
        <w:tc>
          <w:tcPr>
            <w:tcW w:w="4428" w:type="dxa"/>
            <w:gridSpan w:val="2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Data avizării în departament </w:t>
            </w:r>
          </w:p>
        </w:tc>
        <w:tc>
          <w:tcPr>
            <w:tcW w:w="5220" w:type="dxa"/>
            <w:gridSpan w:val="2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Semnătura directorului  de departament</w:t>
            </w:r>
          </w:p>
        </w:tc>
      </w:tr>
      <w:tr w:rsidR="00F24208">
        <w:tc>
          <w:tcPr>
            <w:tcW w:w="4428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F24208">
        <w:tc>
          <w:tcPr>
            <w:tcW w:w="4428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F24208">
        <w:tc>
          <w:tcPr>
            <w:tcW w:w="4428" w:type="dxa"/>
            <w:gridSpan w:val="2"/>
          </w:tcPr>
          <w:p w:rsidR="00F24208" w:rsidRDefault="007252FB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  <w:r>
              <w:rPr>
                <w:color w:val="BFBFBF" w:themeColor="background1" w:themeShade="BF"/>
                <w:sz w:val="22"/>
                <w:lang w:val="ro-RO"/>
              </w:rPr>
              <w:t>Data aprobării în Consiliul Facultății</w:t>
            </w:r>
            <w:r>
              <w:rPr>
                <w:color w:val="BFBFBF" w:themeColor="background1" w:themeShade="BF"/>
                <w:sz w:val="22"/>
                <w:vertAlign w:val="superscript"/>
                <w:lang w:val="ro-RO"/>
              </w:rPr>
              <w:t>1</w:t>
            </w:r>
            <w:r>
              <w:rPr>
                <w:color w:val="BFBFBF" w:themeColor="background1" w:themeShade="BF"/>
                <w:sz w:val="22"/>
                <w:lang w:val="ro-RO"/>
              </w:rPr>
              <w:t xml:space="preserve"> </w:t>
            </w:r>
          </w:p>
        </w:tc>
        <w:tc>
          <w:tcPr>
            <w:tcW w:w="5220" w:type="dxa"/>
            <w:gridSpan w:val="2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  <w:tr w:rsidR="00F24208">
        <w:tc>
          <w:tcPr>
            <w:tcW w:w="9648" w:type="dxa"/>
            <w:gridSpan w:val="4"/>
          </w:tcPr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:rsidR="00F24208" w:rsidRDefault="00F2420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</w:tbl>
    <w:p w:rsidR="00F24208" w:rsidRDefault="00F24208">
      <w:pPr>
        <w:pStyle w:val="a6"/>
        <w:spacing w:after="0" w:line="280" w:lineRule="exact"/>
        <w:ind w:left="0"/>
        <w:rPr>
          <w:rFonts w:ascii="Arial Narrow" w:hAnsi="Arial Narrow"/>
          <w:sz w:val="22"/>
          <w:szCs w:val="22"/>
          <w:lang w:val="ro-RO"/>
        </w:rPr>
      </w:pPr>
    </w:p>
    <w:p w:rsidR="00F24208" w:rsidRDefault="00F24208">
      <w:pPr>
        <w:rPr>
          <w:lang w:val="it-IT"/>
        </w:rPr>
      </w:pPr>
    </w:p>
    <w:sectPr w:rsidR="00F24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FB" w:rsidRDefault="007252FB">
      <w:pPr>
        <w:spacing w:line="240" w:lineRule="auto"/>
      </w:pPr>
      <w:r>
        <w:separator/>
      </w:r>
    </w:p>
  </w:endnote>
  <w:endnote w:type="continuationSeparator" w:id="0">
    <w:p w:rsidR="007252FB" w:rsidRDefault="00725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FB" w:rsidRDefault="007252FB">
      <w:pPr>
        <w:spacing w:line="240" w:lineRule="auto"/>
      </w:pPr>
      <w:r>
        <w:separator/>
      </w:r>
    </w:p>
  </w:footnote>
  <w:footnote w:type="continuationSeparator" w:id="0">
    <w:p w:rsidR="007252FB" w:rsidRDefault="007252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51DF0"/>
    <w:multiLevelType w:val="singleLevel"/>
    <w:tmpl w:val="88151DF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3FF594A"/>
    <w:multiLevelType w:val="multilevel"/>
    <w:tmpl w:val="13FF5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411B75"/>
    <w:multiLevelType w:val="multilevel"/>
    <w:tmpl w:val="19411B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C59F28"/>
    <w:multiLevelType w:val="singleLevel"/>
    <w:tmpl w:val="26C59F28"/>
    <w:lvl w:ilvl="0">
      <w:start w:val="1"/>
      <w:numFmt w:val="decimal"/>
      <w:suff w:val="space"/>
      <w:lvlText w:val="%1."/>
      <w:lvlJc w:val="left"/>
    </w:lvl>
  </w:abstractNum>
  <w:abstractNum w:abstractNumId="4">
    <w:nsid w:val="2C2FC43B"/>
    <w:multiLevelType w:val="singleLevel"/>
    <w:tmpl w:val="2C2FC4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2D670134"/>
    <w:multiLevelType w:val="multilevel"/>
    <w:tmpl w:val="2D67013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AF81A5"/>
    <w:multiLevelType w:val="multilevel"/>
    <w:tmpl w:val="51AF81A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6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7">
    <w:nsid w:val="59AF55A7"/>
    <w:multiLevelType w:val="hybridMultilevel"/>
    <w:tmpl w:val="77903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5A5"/>
    <w:multiLevelType w:val="multilevel"/>
    <w:tmpl w:val="5F7725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E03372B"/>
    <w:multiLevelType w:val="hybridMultilevel"/>
    <w:tmpl w:val="B352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2"/>
    <w:rsid w:val="00173DC2"/>
    <w:rsid w:val="00273CD2"/>
    <w:rsid w:val="003D76DF"/>
    <w:rsid w:val="00493FED"/>
    <w:rsid w:val="00501DA5"/>
    <w:rsid w:val="006F1F63"/>
    <w:rsid w:val="007252FB"/>
    <w:rsid w:val="008B49AE"/>
    <w:rsid w:val="0092336D"/>
    <w:rsid w:val="00AC53E3"/>
    <w:rsid w:val="00B50063"/>
    <w:rsid w:val="00CA7234"/>
    <w:rsid w:val="00DB57C5"/>
    <w:rsid w:val="00EF0868"/>
    <w:rsid w:val="00F24208"/>
    <w:rsid w:val="0D1B3FDB"/>
    <w:rsid w:val="193C4CF6"/>
    <w:rsid w:val="467B7923"/>
    <w:rsid w:val="4BCD7693"/>
    <w:rsid w:val="7FE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unhideWhenUsed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6">
    <w:name w:val="l6"/>
    <w:qFormat/>
    <w:rPr>
      <w:color w:val="000000"/>
      <w:sz w:val="20"/>
    </w:rPr>
  </w:style>
  <w:style w:type="paragraph" w:customStyle="1" w:styleId="Body">
    <w:name w:val="Body"/>
    <w:qFormat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BodyA">
    <w:name w:val="Body A"/>
    <w:qFormat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a8">
    <w:name w:val="List Paragraph"/>
    <w:basedOn w:val="a"/>
    <w:uiPriority w:val="99"/>
    <w:unhideWhenUsed/>
    <w:rsid w:val="00DB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unhideWhenUsed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6">
    <w:name w:val="l6"/>
    <w:qFormat/>
    <w:rPr>
      <w:color w:val="000000"/>
      <w:sz w:val="20"/>
    </w:rPr>
  </w:style>
  <w:style w:type="paragraph" w:customStyle="1" w:styleId="Body">
    <w:name w:val="Body"/>
    <w:qFormat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BodyA">
    <w:name w:val="Body A"/>
    <w:qFormat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a8">
    <w:name w:val="List Paragraph"/>
    <w:basedOn w:val="a"/>
    <w:uiPriority w:val="99"/>
    <w:unhideWhenUsed/>
    <w:rsid w:val="00DB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85ED-44E4-40D5-A087-4B78ED87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Mereuță</dc:creator>
  <cp:lastModifiedBy>Desktop</cp:lastModifiedBy>
  <cp:revision>9</cp:revision>
  <dcterms:created xsi:type="dcterms:W3CDTF">2024-03-13T08:32:00Z</dcterms:created>
  <dcterms:modified xsi:type="dcterms:W3CDTF">2024-04-16T08:25:00Z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8C5803D195154E7495D826028AEA5D01</vt:lpwstr>
  </property>
</Properties>
</file>