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C" w:rsidRDefault="00A0484C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</w:p>
    <w:p w:rsidR="00A0484C" w:rsidRDefault="006F2A88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480"/>
      </w:tblGrid>
      <w:tr w:rsidR="00A0484C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A0484C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1.1 Instituţia de învăţământ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Univeristatea „Dunărea de Jos”din Galaţi</w:t>
            </w:r>
          </w:p>
        </w:tc>
      </w:tr>
      <w:tr w:rsidR="00A0484C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Facultatea Transfrontalieră</w:t>
            </w:r>
          </w:p>
        </w:tc>
      </w:tr>
      <w:tr w:rsidR="00A0484C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pt-BR"/>
              </w:rPr>
            </w:pPr>
            <w:r>
              <w:rPr>
                <w:sz w:val="20"/>
                <w:lang w:val="ro-RO"/>
              </w:rPr>
              <w:t xml:space="preserve">Departamentul de Ştiinţe socio-umane / </w:t>
            </w:r>
            <w:r>
              <w:rPr>
                <w:sz w:val="20"/>
                <w:lang w:val="pt-BR"/>
              </w:rPr>
              <w:t xml:space="preserve">Ştiinţe aplicate / </w:t>
            </w:r>
            <w:r>
              <w:rPr>
                <w:sz w:val="20"/>
                <w:lang w:val="pt-BR"/>
              </w:rPr>
              <w:t>Ştiinţele vieţii</w:t>
            </w:r>
          </w:p>
        </w:tc>
      </w:tr>
      <w:tr w:rsidR="00A0484C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Relații internaționale și studii europene</w:t>
            </w:r>
          </w:p>
        </w:tc>
      </w:tr>
      <w:tr w:rsidR="00A0484C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Licenţă </w:t>
            </w:r>
          </w:p>
        </w:tc>
      </w:tr>
      <w:tr w:rsidR="00A0484C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Relații internaționale și studii europene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8"/>
        <w:gridCol w:w="540"/>
        <w:gridCol w:w="180"/>
        <w:gridCol w:w="720"/>
        <w:gridCol w:w="360"/>
        <w:gridCol w:w="540"/>
        <w:gridCol w:w="1980"/>
        <w:gridCol w:w="1080"/>
        <w:gridCol w:w="2160"/>
        <w:gridCol w:w="540"/>
      </w:tblGrid>
      <w:tr w:rsidR="00A0484C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A0484C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0000FF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 xml:space="preserve">Drept </w:t>
            </w:r>
            <w:r w:rsidRPr="00DA13C9">
              <w:rPr>
                <w:bCs/>
                <w:sz w:val="20"/>
                <w:lang w:val="ro-RO"/>
              </w:rPr>
              <w:t>internațional</w:t>
            </w:r>
          </w:p>
        </w:tc>
      </w:tr>
      <w:tr w:rsidR="00A0484C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2.2 Titularul activităţilor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A0484C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2.3 Titularul activităţilor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A0484C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DA13C9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2.5 Semestrul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84C" w:rsidRPr="00DA13C9" w:rsidRDefault="00DA13C9" w:rsidP="00DA13C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2.7 Regimul disciplinei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color w:val="FF0000"/>
                <w:sz w:val="20"/>
                <w:lang w:val="ro-RO"/>
              </w:rPr>
            </w:pPr>
            <w:r w:rsidRPr="00DA13C9">
              <w:rPr>
                <w:bCs/>
                <w:sz w:val="20"/>
                <w:lang w:val="ro-RO"/>
              </w:rPr>
              <w:t>Ob.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A0484C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 Timpul total estimat</w:t>
            </w:r>
            <w:r>
              <w:rPr>
                <w:sz w:val="20"/>
                <w:lang w:val="ro-RO"/>
              </w:rPr>
              <w:t xml:space="preserve"> (ore pe semestru al activităţilor didactice)</w:t>
            </w:r>
          </w:p>
        </w:tc>
      </w:tr>
      <w:tr w:rsidR="00A0484C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din care:   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</w:t>
            </w:r>
          </w:p>
        </w:tc>
      </w:tr>
      <w:tr w:rsidR="00A0484C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3.4 Total ore din planul de învăţământ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din care:   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28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Distribuţia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>
              <w:rPr>
                <w:sz w:val="20"/>
                <w:lang w:val="ro-RO"/>
              </w:rPr>
              <w:t>ore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Studiul după manual, suport de curs, bibliografie </w:t>
            </w:r>
            <w:r w:rsidRPr="00DA13C9">
              <w:rPr>
                <w:rFonts w:ascii="Tahoma" w:hAnsi="Tahoma"/>
                <w:sz w:val="20"/>
                <w:lang w:val="ro-RO"/>
              </w:rPr>
              <w:t>ș</w:t>
            </w:r>
            <w:r w:rsidRPr="00DA13C9">
              <w:rPr>
                <w:sz w:val="20"/>
                <w:lang w:val="ro-RO"/>
              </w:rPr>
              <w:t>i noti</w:t>
            </w:r>
            <w:r w:rsidRPr="00DA13C9">
              <w:rPr>
                <w:rFonts w:ascii="Tahoma" w:hAnsi="Tahoma"/>
                <w:sz w:val="20"/>
                <w:lang w:val="ro-RO"/>
              </w:rPr>
              <w:t>ț</w:t>
            </w:r>
            <w:r w:rsidRPr="00DA13C9">
              <w:rPr>
                <w:sz w:val="20"/>
                <w:lang w:val="ro-RO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Pregătire seminarii/laboratoare, teme, referate, portofolii </w:t>
            </w:r>
            <w:r w:rsidRPr="00DA13C9">
              <w:rPr>
                <w:rFonts w:ascii="Tahoma" w:hAnsi="Tahoma" w:cs="Tahoma"/>
                <w:sz w:val="20"/>
                <w:lang w:val="ro-RO"/>
              </w:rPr>
              <w:t>ș</w:t>
            </w:r>
            <w:r w:rsidRPr="00DA13C9">
              <w:rPr>
                <w:sz w:val="20"/>
                <w:lang w:val="ro-RO"/>
              </w:rPr>
              <w:t xml:space="preserve">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20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Tutoriat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5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Exami</w:t>
            </w:r>
            <w:r w:rsidRPr="00DA13C9">
              <w:rPr>
                <w:sz w:val="20"/>
                <w:lang w:val="ro-RO"/>
              </w:rPr>
              <w:t>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4</w:t>
            </w:r>
          </w:p>
        </w:tc>
      </w:tr>
      <w:tr w:rsidR="00A0484C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Alte activităţi...................................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69</w:t>
            </w:r>
          </w:p>
        </w:tc>
      </w:tr>
      <w:tr w:rsidR="00A0484C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125</w:t>
            </w:r>
          </w:p>
        </w:tc>
      </w:tr>
      <w:tr w:rsidR="00A0484C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5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A0484C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4. Precondiţii </w:t>
            </w:r>
            <w:r>
              <w:rPr>
                <w:sz w:val="20"/>
                <w:lang w:val="ro-RO"/>
              </w:rPr>
              <w:t>(acolo unde este cazul)</w:t>
            </w:r>
          </w:p>
        </w:tc>
      </w:tr>
      <w:tr w:rsidR="00A0484C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n/a</w:t>
            </w:r>
          </w:p>
          <w:p w:rsidR="00A0484C" w:rsidRPr="00DA13C9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4.2 de competenţe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n/a</w:t>
            </w:r>
          </w:p>
          <w:p w:rsidR="00A0484C" w:rsidRPr="00DA13C9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579"/>
      </w:tblGrid>
      <w:tr w:rsidR="00A0484C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5. Condiţii </w:t>
            </w:r>
            <w:r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A0484C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5.1. de desfăşurare a cursului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Cursul se desfăşoară în baza bibliografiei indicate, având un caracter interactiv. Se utilizează prezentări cu ajutorul TIC.</w:t>
            </w:r>
          </w:p>
        </w:tc>
      </w:tr>
      <w:tr w:rsidR="00A0484C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5.2. de desfă</w:t>
            </w:r>
            <w:r>
              <w:rPr>
                <w:rFonts w:ascii="Tahoma" w:hAnsi="Tahoma" w:cs="Tahoma"/>
                <w:sz w:val="20"/>
                <w:lang w:val="ro-RO"/>
              </w:rPr>
              <w:t>ș</w:t>
            </w:r>
            <w:r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Seminarul se desfăşoară pe baza bibliografiei indicate. Sarcinile de lucru se rezolvă atât în echipe de lucru cât şi individual, sub îndrumarea şi controlul cadrului didactic. 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A0484C" w:rsidRDefault="006F2A88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br w:type="page"/>
      </w: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647"/>
        <w:gridCol w:w="9181"/>
      </w:tblGrid>
      <w:tr w:rsidR="00A0484C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6. Competenţele specifice acumulate</w:t>
            </w:r>
            <w:r>
              <w:rPr>
                <w:sz w:val="20"/>
                <w:lang w:val="ro-RO"/>
              </w:rPr>
              <w:t xml:space="preserve"> </w:t>
            </w:r>
          </w:p>
        </w:tc>
      </w:tr>
      <w:tr w:rsidR="00A0484C" w:rsidTr="00DA13C9">
        <w:trPr>
          <w:trHeight w:val="24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Competenţe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Cunoașterea</w:t>
            </w:r>
            <w:r w:rsidRPr="00DA13C9">
              <w:rPr>
                <w:sz w:val="20"/>
                <w:szCs w:val="20"/>
                <w:lang w:val="ro-RO"/>
              </w:rPr>
              <w:t xml:space="preserve"> normelor, izvoarelor și institutelor dreptului internațional</w:t>
            </w:r>
          </w:p>
          <w:p w:rsidR="00A0484C" w:rsidRPr="00DA13C9" w:rsidRDefault="006F2A8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Aplicarea unor deprinderi de analiză a elementelor de drept </w:t>
            </w:r>
            <w:r w:rsidRPr="00DA13C9">
              <w:rPr>
                <w:sz w:val="20"/>
                <w:szCs w:val="20"/>
                <w:lang w:val="ro-RO"/>
              </w:rPr>
              <w:t>internațional</w:t>
            </w:r>
            <w:r w:rsidRPr="00DA13C9">
              <w:rPr>
                <w:sz w:val="20"/>
                <w:szCs w:val="20"/>
                <w:lang w:val="ro-RO"/>
              </w:rPr>
              <w:t>;</w:t>
            </w:r>
          </w:p>
          <w:p w:rsidR="00A0484C" w:rsidRPr="00DA13C9" w:rsidRDefault="006F2A8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Reflecția critică și capacitatea de interpretare a normelor de drept </w:t>
            </w:r>
            <w:r w:rsidRPr="00DA13C9">
              <w:rPr>
                <w:sz w:val="20"/>
                <w:szCs w:val="20"/>
                <w:lang w:val="ro-RO"/>
              </w:rPr>
              <w:t>internațional</w:t>
            </w:r>
            <w:r w:rsidRPr="00DA13C9">
              <w:rPr>
                <w:sz w:val="20"/>
                <w:szCs w:val="20"/>
                <w:lang w:val="ro-RO"/>
              </w:rPr>
              <w:t xml:space="preserve"> cu raportare la anumite situaţii faptice concrete;</w:t>
            </w:r>
          </w:p>
          <w:p w:rsidR="00A0484C" w:rsidRPr="00DA13C9" w:rsidRDefault="006F2A8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Aplicarea principiilor dreptului internațional situațiilor regionale, globale sau cazuistice;</w:t>
            </w:r>
          </w:p>
          <w:p w:rsidR="00A0484C" w:rsidRPr="00DA13C9" w:rsidRDefault="006F2A8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Demonstrarea abilităților de analiză </w:t>
            </w:r>
            <w:r w:rsidRPr="00DA13C9">
              <w:rPr>
                <w:sz w:val="20"/>
                <w:szCs w:val="20"/>
                <w:lang w:val="ro-RO"/>
              </w:rPr>
              <w:t xml:space="preserve">a conceptelor, abordărilor şi teoriilor din domeniul </w:t>
            </w:r>
            <w:r w:rsidRPr="00DA13C9">
              <w:rPr>
                <w:sz w:val="20"/>
                <w:szCs w:val="20"/>
                <w:lang w:val="ro-RO"/>
              </w:rPr>
              <w:t xml:space="preserve">dreptului </w:t>
            </w:r>
            <w:r w:rsidRPr="00DA13C9">
              <w:rPr>
                <w:sz w:val="20"/>
                <w:szCs w:val="20"/>
                <w:lang w:val="ro-RO"/>
              </w:rPr>
              <w:t>internațional</w:t>
            </w:r>
            <w:r w:rsidRPr="00DA13C9">
              <w:rPr>
                <w:sz w:val="20"/>
                <w:szCs w:val="20"/>
                <w:lang w:val="ro-RO"/>
              </w:rPr>
              <w:t>;</w:t>
            </w:r>
          </w:p>
          <w:p w:rsidR="00A0484C" w:rsidRPr="00DA13C9" w:rsidRDefault="006F2A88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djustRightInd/>
              <w:spacing w:line="240" w:lineRule="auto"/>
              <w:ind w:left="480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Utilizarea adecvată a cunoştinţelor, deprinderilor practice şi metode ştiinţifico-teoretice în activitatea de evaluare a </w:t>
            </w:r>
            <w:r w:rsidRPr="00DA13C9">
              <w:rPr>
                <w:sz w:val="20"/>
                <w:szCs w:val="20"/>
                <w:lang w:val="ro-RO"/>
              </w:rPr>
              <w:t>situațiilor concrete.</w:t>
            </w:r>
          </w:p>
        </w:tc>
      </w:tr>
      <w:tr w:rsidR="00A0484C">
        <w:trPr>
          <w:trHeight w:val="1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Competenţe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bCs/>
                <w:sz w:val="20"/>
                <w:szCs w:val="20"/>
                <w:lang w:val="ro-RO"/>
              </w:rPr>
            </w:pPr>
            <w:r w:rsidRPr="00DA13C9">
              <w:rPr>
                <w:bCs/>
                <w:sz w:val="20"/>
                <w:szCs w:val="20"/>
                <w:lang w:val="ro-RO"/>
              </w:rPr>
              <w:t xml:space="preserve">Capacitate de analiză şi sinteză în cadrul studiilor de caz în </w:t>
            </w:r>
            <w:r w:rsidRPr="00DA13C9">
              <w:rPr>
                <w:bCs/>
                <w:sz w:val="20"/>
                <w:szCs w:val="20"/>
                <w:lang w:val="ro-RO"/>
              </w:rPr>
              <w:t>domeniu;</w:t>
            </w:r>
          </w:p>
          <w:p w:rsidR="00A0484C" w:rsidRPr="00DA13C9" w:rsidRDefault="006F2A8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Abordare multidisciplinară a instituţiilor de drept penal </w:t>
            </w:r>
            <w:r w:rsidRPr="00DA13C9">
              <w:rPr>
                <w:sz w:val="20"/>
                <w:szCs w:val="20"/>
                <w:lang w:val="ro-RO"/>
              </w:rPr>
              <w:t>internațional</w:t>
            </w:r>
            <w:r w:rsidRPr="00DA13C9">
              <w:rPr>
                <w:sz w:val="20"/>
                <w:szCs w:val="20"/>
                <w:lang w:val="ro-RO"/>
              </w:rPr>
              <w:t>;</w:t>
            </w:r>
          </w:p>
          <w:p w:rsidR="00A0484C" w:rsidRPr="00DA13C9" w:rsidRDefault="006F2A88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Autoevaluarea nevoii de continuare a formării profesionale, prin valorificarea oportunităţilor de identificare şi asimilare de noi cunoştinţe în domeniul </w:t>
            </w:r>
            <w:r w:rsidRPr="00DA13C9">
              <w:rPr>
                <w:sz w:val="20"/>
                <w:szCs w:val="20"/>
                <w:lang w:val="ro-RO"/>
              </w:rPr>
              <w:t>dreptului internațio</w:t>
            </w:r>
            <w:r w:rsidRPr="00DA13C9">
              <w:rPr>
                <w:sz w:val="20"/>
                <w:szCs w:val="20"/>
                <w:lang w:val="ro-RO"/>
              </w:rPr>
              <w:t>nal</w:t>
            </w:r>
            <w:r w:rsidRPr="00DA13C9">
              <w:rPr>
                <w:sz w:val="20"/>
                <w:szCs w:val="20"/>
                <w:lang w:val="ro-RO"/>
              </w:rPr>
              <w:t>;</w:t>
            </w:r>
          </w:p>
          <w:p w:rsidR="00A0484C" w:rsidRPr="00DA13C9" w:rsidRDefault="006F2A88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djustRightInd/>
              <w:spacing w:line="240" w:lineRule="auto"/>
              <w:ind w:leftChars="50" w:left="483" w:hanging="363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Implicarea în activităţi de cercetare prin documentare, investigare şi constatare.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168"/>
        <w:gridCol w:w="6660"/>
      </w:tblGrid>
      <w:tr w:rsidR="00A0484C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7. Obiectivele disciplinei </w:t>
            </w:r>
            <w:r>
              <w:rPr>
                <w:sz w:val="20"/>
                <w:lang w:val="ro-RO"/>
              </w:rPr>
              <w:t>(reieşind din grila competenţelor specifice acumulate)</w:t>
            </w:r>
          </w:p>
        </w:tc>
      </w:tr>
      <w:tr w:rsidR="00A0484C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84C" w:rsidRPr="00DA13C9" w:rsidRDefault="006F2A88" w:rsidP="00DA13C9">
            <w:pPr>
              <w:widowControl/>
              <w:tabs>
                <w:tab w:val="left" w:pos="720"/>
              </w:tabs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Familiarizarea </w:t>
            </w:r>
            <w:r w:rsidRPr="00DA13C9">
              <w:rPr>
                <w:sz w:val="20"/>
                <w:szCs w:val="20"/>
                <w:lang w:val="ro-RO"/>
              </w:rPr>
              <w:t xml:space="preserve">studenților </w:t>
            </w:r>
            <w:r w:rsidRPr="00DA13C9">
              <w:rPr>
                <w:sz w:val="20"/>
                <w:szCs w:val="20"/>
                <w:lang w:val="ro-RO"/>
              </w:rPr>
              <w:t xml:space="preserve">cu </w:t>
            </w:r>
            <w:r w:rsidRPr="00DA13C9">
              <w:rPr>
                <w:sz w:val="20"/>
                <w:szCs w:val="20"/>
                <w:lang w:val="ro-RO"/>
              </w:rPr>
              <w:t>dreptul</w:t>
            </w:r>
            <w:r w:rsidRPr="00DA13C9">
              <w:rPr>
                <w:sz w:val="20"/>
                <w:szCs w:val="20"/>
                <w:lang w:val="ro-RO"/>
              </w:rPr>
              <w:t xml:space="preserve"> </w:t>
            </w:r>
            <w:r w:rsidRPr="00DA13C9">
              <w:rPr>
                <w:sz w:val="20"/>
                <w:szCs w:val="20"/>
                <w:lang w:val="ro-RO"/>
              </w:rPr>
              <w:t>internațional</w:t>
            </w:r>
            <w:r w:rsidRPr="00DA13C9">
              <w:rPr>
                <w:sz w:val="20"/>
                <w:szCs w:val="20"/>
                <w:lang w:val="ro-RO"/>
              </w:rPr>
              <w:t xml:space="preserve">, precum ar fi: principiile </w:t>
            </w:r>
            <w:r w:rsidRPr="00DA13C9">
              <w:rPr>
                <w:sz w:val="20"/>
                <w:szCs w:val="20"/>
                <w:lang w:val="ro-RO"/>
              </w:rPr>
              <w:t xml:space="preserve">generale și </w:t>
            </w:r>
            <w:r w:rsidRPr="00DA13C9">
              <w:rPr>
                <w:sz w:val="20"/>
                <w:szCs w:val="20"/>
                <w:lang w:val="ro-RO"/>
              </w:rPr>
              <w:t>specifice; proceduri aplicabile;  premisele şi mecanismele colaborării bilaterale şi multilaterale</w:t>
            </w:r>
            <w:r w:rsidRPr="00DA13C9">
              <w:rPr>
                <w:sz w:val="20"/>
                <w:szCs w:val="20"/>
                <w:lang w:val="ro-RO"/>
              </w:rPr>
              <w:t xml:space="preserve"> </w:t>
            </w:r>
            <w:r w:rsidRPr="00DA13C9">
              <w:rPr>
                <w:sz w:val="20"/>
                <w:szCs w:val="20"/>
                <w:lang w:val="ro-RO"/>
              </w:rPr>
              <w:t xml:space="preserve"> etc.</w:t>
            </w:r>
          </w:p>
        </w:tc>
      </w:tr>
      <w:tr w:rsidR="00A0484C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cunoașterea fundamentului dreptului </w:t>
            </w:r>
            <w:r w:rsidRPr="00DA13C9">
              <w:rPr>
                <w:sz w:val="20"/>
                <w:lang w:val="ro-RO"/>
              </w:rPr>
              <w:t>internațional public;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înțelegerea procesului de formare a normelor de drept internațional;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cunoașterea sistemului izvoarelor dreptului internațional public;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înțelegerea rolului jurisprudenței și doctrinei în dreptul internațional public;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îmbunătățirea </w:t>
            </w:r>
            <w:r w:rsidRPr="00DA13C9">
              <w:rPr>
                <w:sz w:val="20"/>
                <w:lang w:val="ro-RO"/>
              </w:rPr>
              <w:t>capacităților analitice ale studenților, permițându-le să dezbată convingător și să formuleze argumente cu referire la conținuturile disciplinei;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exprimarea cunoștințelor obținute pe durata studierii disciplinei într-un mod coerent și cu folosirea terminol</w:t>
            </w:r>
            <w:r w:rsidRPr="00DA13C9">
              <w:rPr>
                <w:sz w:val="20"/>
                <w:lang w:val="ro-RO"/>
              </w:rPr>
              <w:t>ogiei juridice specifice acesteia;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aplicarea noțiunilor juridice însușite pe perioada predării cursului atât în context faptic național, cât și internațional;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abilitatea de a supune unei aprecieri critice însușirile unor argumente particulare și de a opera</w:t>
            </w:r>
            <w:r w:rsidRPr="00DA13C9">
              <w:rPr>
                <w:sz w:val="20"/>
                <w:lang w:val="ro-RO"/>
              </w:rPr>
              <w:t xml:space="preserve"> o alegere motivată între soluții alternative sau argumente;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abilitatea de a interpreta materialul normativ internațional;</w:t>
            </w:r>
          </w:p>
          <w:p w:rsidR="00A0484C" w:rsidRPr="00DA13C9" w:rsidRDefault="006F2A8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asumarea individuală a responsabilității pentru dezvoltarea profesională ulterioară</w:t>
            </w:r>
          </w:p>
          <w:p w:rsidR="00A0484C" w:rsidRPr="00DA13C9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12"/>
        <w:gridCol w:w="2093"/>
        <w:gridCol w:w="175"/>
        <w:gridCol w:w="1640"/>
      </w:tblGrid>
      <w:tr w:rsidR="00A0484C">
        <w:trPr>
          <w:trHeight w:val="254"/>
        </w:trPr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8. Conţinuturi</w:t>
            </w:r>
          </w:p>
        </w:tc>
      </w:tr>
      <w:tr w:rsidR="00A0484C" w:rsidTr="00DA13C9">
        <w:trPr>
          <w:trHeight w:val="593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8. 1 Curs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Metode de predare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Observaţii</w:t>
            </w:r>
          </w:p>
        </w:tc>
      </w:tr>
      <w:tr w:rsidR="00A0484C" w:rsidTr="00DA13C9">
        <w:trPr>
          <w:trHeight w:val="136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Noțiuni introductive privind dreptul internațional - 2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Curs interactiv, descoperirea dirijată</w:t>
            </w:r>
            <w:r w:rsidRPr="00DA13C9">
              <w:rPr>
                <w:sz w:val="20"/>
                <w:szCs w:val="20"/>
                <w:lang w:val="ro-RO"/>
              </w:rPr>
              <w:t xml:space="preserve">, </w:t>
            </w:r>
            <w:r w:rsidRPr="00DA13C9">
              <w:rPr>
                <w:sz w:val="20"/>
                <w:szCs w:val="20"/>
                <w:lang w:val="ro-RO"/>
              </w:rPr>
              <w:t xml:space="preserve">explicație, </w:t>
            </w:r>
            <w:r w:rsidRPr="00DA13C9">
              <w:rPr>
                <w:sz w:val="20"/>
                <w:szCs w:val="20"/>
                <w:lang w:val="ro-RO"/>
              </w:rPr>
              <w:t>instructaj, studierea cazurilor din practica judiciară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Se </w:t>
            </w:r>
            <w:r w:rsidRPr="00DA13C9">
              <w:rPr>
                <w:sz w:val="20"/>
                <w:szCs w:val="20"/>
                <w:lang w:val="ro-RO"/>
              </w:rPr>
              <w:t xml:space="preserve">aplică </w:t>
            </w:r>
            <w:r w:rsidRPr="00DA13C9">
              <w:rPr>
                <w:sz w:val="20"/>
                <w:szCs w:val="20"/>
                <w:lang w:val="ro-RO"/>
              </w:rPr>
              <w:t xml:space="preserve">pentru toate </w:t>
            </w:r>
            <w:r w:rsidRPr="00DA13C9">
              <w:rPr>
                <w:sz w:val="20"/>
                <w:szCs w:val="20"/>
                <w:lang w:val="ro-RO"/>
              </w:rPr>
              <w:t xml:space="preserve">temele de </w:t>
            </w:r>
            <w:r w:rsidRPr="00DA13C9">
              <w:rPr>
                <w:sz w:val="20"/>
                <w:szCs w:val="20"/>
                <w:lang w:val="ro-RO"/>
              </w:rPr>
              <w:t>curs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lastRenderedPageBreak/>
              <w:t xml:space="preserve">Izvoarele dreptului internațional - 2 </w:t>
            </w:r>
            <w:r w:rsidRPr="00DA13C9">
              <w:rPr>
                <w:sz w:val="20"/>
                <w:szCs w:val="20"/>
                <w:lang w:val="ro-RO"/>
              </w:rPr>
              <w:t>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 w:rsidP="00DA13C9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Principiile fundamentale ale deptului internațional - </w:t>
            </w:r>
            <w:r w:rsidR="00DA13C9" w:rsidRPr="00DA13C9">
              <w:rPr>
                <w:sz w:val="20"/>
                <w:szCs w:val="20"/>
                <w:lang w:val="ro-RO"/>
              </w:rPr>
              <w:t>4</w:t>
            </w:r>
            <w:r w:rsidRPr="00DA13C9">
              <w:rPr>
                <w:sz w:val="20"/>
                <w:szCs w:val="20"/>
                <w:lang w:val="ro-RO"/>
              </w:rPr>
              <w:t xml:space="preserve">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 w:rsidP="00DA13C9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Subiecții dreptului internațional - </w:t>
            </w:r>
            <w:r w:rsidR="00DA13C9" w:rsidRPr="00DA13C9">
              <w:rPr>
                <w:sz w:val="20"/>
                <w:szCs w:val="20"/>
                <w:lang w:val="ro-RO"/>
              </w:rPr>
              <w:t>4</w:t>
            </w:r>
            <w:r w:rsidRPr="00DA13C9">
              <w:rPr>
                <w:sz w:val="20"/>
                <w:szCs w:val="20"/>
                <w:lang w:val="ro-RO"/>
              </w:rPr>
              <w:t xml:space="preserve">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Dreptul tratatelor - 2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Teritoriul în dreptul internațional - 2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Dreptul mării - 2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 w:rsidP="00DA13C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8.Dreptul internațional penal - </w:t>
            </w:r>
            <w:r w:rsidR="00DA13C9" w:rsidRPr="00DA13C9">
              <w:rPr>
                <w:sz w:val="20"/>
                <w:szCs w:val="20"/>
                <w:lang w:val="ro-RO"/>
              </w:rPr>
              <w:t>4</w:t>
            </w:r>
            <w:r w:rsidRPr="00DA13C9">
              <w:rPr>
                <w:sz w:val="20"/>
                <w:szCs w:val="20"/>
                <w:lang w:val="ro-RO"/>
              </w:rPr>
              <w:t xml:space="preserve">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 w:rsidP="00DA13C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 xml:space="preserve">9.Dreptul internațional umanitar - </w:t>
            </w:r>
            <w:r w:rsidR="00DA13C9" w:rsidRPr="00DA13C9">
              <w:rPr>
                <w:sz w:val="20"/>
                <w:szCs w:val="20"/>
                <w:lang w:val="ro-RO"/>
              </w:rPr>
              <w:t>4</w:t>
            </w:r>
            <w:r w:rsidRPr="00DA13C9">
              <w:rPr>
                <w:sz w:val="20"/>
                <w:szCs w:val="20"/>
                <w:lang w:val="ro-RO"/>
              </w:rPr>
              <w:t xml:space="preserve">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DA13C9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10.Soluționarea pașnică a diferendelor internaționale - 2 ore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DA13C9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 w:rsidTr="00DA13C9">
        <w:trPr>
          <w:trHeight w:val="7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trHeight w:val="111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Bibliografie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Actul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final de la Helsinki al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Conferinței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pentru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Securitate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Cooperare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în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Europa (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Declarația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privind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principiile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care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guvernează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relațiile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reciproce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dintre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statele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participante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) din 1 august 1975;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Burian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Alexandru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et al.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ed. </w:t>
            </w:r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  V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-a,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compl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actualiz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Chișinău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2021.</w:t>
            </w:r>
          </w:p>
          <w:p w:rsidR="008A65CD" w:rsidRPr="00DA13C9" w:rsidRDefault="008A65CD" w:rsidP="008A65CD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>Convenția de la Chicago privind aviația civilă internațională din 7 decembrie 1944;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Convenția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de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Viena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cu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privire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dreptul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tratatelor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din 23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mai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1969;</w:t>
            </w:r>
          </w:p>
          <w:p w:rsidR="008A65CD" w:rsidRPr="008A65CD" w:rsidRDefault="008A65CD" w:rsidP="008A65CD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DA13C9">
              <w:rPr>
                <w:sz w:val="20"/>
                <w:lang w:val="ro-RO"/>
              </w:rPr>
              <w:t xml:space="preserve">Convenția </w:t>
            </w:r>
            <w:r w:rsidRPr="008A65CD">
              <w:rPr>
                <w:sz w:val="20"/>
                <w:lang w:val="ro-RO"/>
              </w:rPr>
              <w:t>ONU privind dreptul mării din 10 decembrie 1982;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Crăciunean-Tatu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Laura-Maria.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umanitar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ed. a 2-a rev.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adăug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Hamangiu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2019. 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Declarația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universală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drepturilor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omului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din 10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decembrie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1948;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Miga-Beșteliu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Raluca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ed. a 3-a, vol. I,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C.H. Beck, 2014.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Năstase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Adrian et al.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contemporan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texte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esențiale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ed. a 2-a rev.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adăug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Universul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Juridic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2007. </w:t>
            </w:r>
          </w:p>
          <w:p w:rsidR="008A65CD" w:rsidRDefault="008A65CD" w:rsidP="008A65C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 xml:space="preserve">Ostavciuc 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 xml:space="preserve">Dinu, 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 xml:space="preserve">Osoianu 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>Tudor. Echipe comune de investigaţii – formă a asistenţei juridice internaţionale în materie penală. . În: Protecţia drepturilor şi libertăţilor fundamentale ale omului în procesul asigurării ordinii şi securităţii publice. Ediția a II-a. Conferință ştiinţifico-practică internațională. 08.12.2022. Chişinău, Republica Moldova, 2023, pp. 289-297. (0,53 c.a) ISBN 978-9975-135-66-5. CZU 34+351.74/.75(082) P 95</w:t>
            </w:r>
          </w:p>
          <w:p w:rsidR="008A65CD" w:rsidRPr="008A65CD" w:rsidRDefault="008A65CD" w:rsidP="008A65CD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>Ostavciuc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 xml:space="preserve">, Dinu. Joint form-investigations teamsof international legal assistance in criminal matters. În: ACROSS – A Comprehensive Review of Societal Studies (Volumul 5 / Anul 2022), Galați, România. </w:t>
            </w:r>
          </w:p>
          <w:p w:rsidR="008A65CD" w:rsidRPr="008A65CD" w:rsidRDefault="008A65CD" w:rsidP="008A65C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>Ostavciuc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 xml:space="preserve">, Dinu, 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>Odagiu</w:t>
            </w:r>
            <w:r w:rsidRPr="008A65CD">
              <w:rPr>
                <w:rFonts w:ascii="Times New Roman" w:hAnsi="Times New Roman"/>
                <w:sz w:val="20"/>
                <w:szCs w:val="20"/>
              </w:rPr>
              <w:t>, Iurie. Investigarea infracţiunilor cu caracter extremist: Ghid metodic pentru ofiţerii de urmărire penală, Chișinău: Ed. Cartea Militară, 2020. 52 p. ISBN 978-9975-3364-2-0.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Selejan-Guțan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Bianca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Laura-Maria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Crăciunean-Tatu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ed. a 2-a rev.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adăug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Hamangiu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2014.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Serbenco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Eduard.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Îndrumar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metodic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disciplina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Chișinău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Tipografia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Centrală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2016.</w:t>
            </w: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8. 2 Seminar/laborator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Metode de predare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Observaţii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1.Noțiuni introductive privind dreptul internațional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Analiza comparativă, dezbateri euristice, studiu de caz</w:t>
            </w:r>
            <w:r w:rsidRPr="008A65CD">
              <w:rPr>
                <w:sz w:val="20"/>
                <w:szCs w:val="20"/>
                <w:lang w:val="ro-RO"/>
              </w:rPr>
              <w:t>, discuții, formualrea întrebărilor de cunoaștere, exercițiu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Se </w:t>
            </w:r>
            <w:r w:rsidRPr="008A65CD">
              <w:rPr>
                <w:sz w:val="20"/>
                <w:szCs w:val="20"/>
                <w:lang w:val="ro-RO"/>
              </w:rPr>
              <w:t>utilizează pentru toate seminarele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2.Izvoarele dreptului internațional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3.Principiile fundamentale ale deptului internațional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4.Subiecții dreptului internațional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5.Dreptul tratatelor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6.Teritoriul în dreptul internațional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7.Dreptul mării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8.Dreptul internațional penal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25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9.Dreptul internațional umanitar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 xml:space="preserve">10.Soluționarea pașnică a diferendelor internaționale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szCs w:val="20"/>
                <w:lang w:val="ro-RO"/>
              </w:rPr>
              <w:t>Idem</w:t>
            </w:r>
          </w:p>
        </w:tc>
      </w:tr>
      <w:tr w:rsidR="00A0484C">
        <w:trPr>
          <w:trHeight w:val="7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Bibliografie</w:t>
            </w: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:rsidR="008A65CD" w:rsidRPr="00DA13C9" w:rsidRDefault="008A65CD" w:rsidP="008A65CD">
            <w:pPr>
              <w:pStyle w:val="Body"/>
              <w:numPr>
                <w:ilvl w:val="0"/>
                <w:numId w:val="14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Burian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Alexandru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et al.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ed. </w:t>
            </w:r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  V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-a,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compl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actualiz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Chișinău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2021.</w:t>
            </w:r>
          </w:p>
          <w:p w:rsidR="008A65CD" w:rsidRPr="008A65CD" w:rsidRDefault="008A65CD" w:rsidP="008A65C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425"/>
              </w:tabs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Convenția de la Chicago privind aviația civilă internațională din 7 decembrie 1944;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14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lastRenderedPageBreak/>
              <w:t>Convenția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de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Viena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cu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privire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dreptul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tratatelor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din 23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mai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1969;</w:t>
            </w:r>
          </w:p>
          <w:p w:rsidR="008A65CD" w:rsidRPr="008A65CD" w:rsidRDefault="008A65CD" w:rsidP="008A65C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425"/>
              </w:tabs>
              <w:adjustRightInd/>
              <w:spacing w:line="240" w:lineRule="auto"/>
              <w:ind w:left="426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Convenția ONU privind dreptul mării din 10 decembrie 1982;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14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Crăciunean-Tatu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Laura-Maria.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umanitar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ed. a 2-a rev.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adăug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Hamangiu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2019. </w:t>
            </w:r>
          </w:p>
          <w:p w:rsidR="008A65CD" w:rsidRDefault="008A65CD" w:rsidP="008A65CD">
            <w:pPr>
              <w:pStyle w:val="a8"/>
              <w:numPr>
                <w:ilvl w:val="0"/>
                <w:numId w:val="14"/>
              </w:numPr>
              <w:tabs>
                <w:tab w:val="left" w:pos="425"/>
              </w:tabs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>Ostavciuc Dinu, Osoianu Tudor. Echipe comune de investigaţii – formă a asistenţei juridice internaţionale în materie penală. . În: Protecţia drepturilor şi libertăţilor fundamentale ale omului în procesul asigurării ordinii şi securităţii publice. Ediția a II-a. Conferință ştiinţifico-practică internațională. 08.12.2022. Chişinău, Republica Moldova, 2023, pp. 289-297. (0,53 c.a) ISBN 978-9975-135-66-5. CZU 34+351.74/.75(082) P 95</w:t>
            </w:r>
          </w:p>
          <w:p w:rsidR="008A65CD" w:rsidRPr="008A65CD" w:rsidRDefault="008A65CD" w:rsidP="008A65CD">
            <w:pPr>
              <w:pStyle w:val="a8"/>
              <w:numPr>
                <w:ilvl w:val="0"/>
                <w:numId w:val="14"/>
              </w:numPr>
              <w:tabs>
                <w:tab w:val="left" w:pos="425"/>
              </w:tabs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 xml:space="preserve">Ostavciuc, Dinu. Joint form-investigations teamsof international legal assistance in criminal matters. În: ACROSS – A Comprehensive Review of Societal Studies (Volumul 5 / Anul 2022), Galați, România. </w:t>
            </w:r>
          </w:p>
          <w:p w:rsidR="008A65CD" w:rsidRPr="008A65CD" w:rsidRDefault="008A65CD" w:rsidP="008A65CD">
            <w:pPr>
              <w:pStyle w:val="a8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5CD">
              <w:rPr>
                <w:rFonts w:ascii="Times New Roman" w:hAnsi="Times New Roman"/>
                <w:sz w:val="20"/>
                <w:szCs w:val="20"/>
              </w:rPr>
              <w:t>Ostavciuc, Dinu, Odagiu, Iurie. Investigarea infracţiunilor cu caracter extremist: Ghid metodic pentru ofiţerii de urmărire penală, Chișinău: Ed. Cartea Militară, 2020. 52 p. ISBN 978-9975-3364-2-0.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14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Selejan-Guțan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Bianca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Laura-Maria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Crăciunean-Tatu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ed. a 2-a rev.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și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DA13C9">
              <w:rPr>
                <w:rFonts w:ascii="Times New Roman" w:hAnsi="Times New Roman"/>
                <w:color w:val="auto"/>
                <w:sz w:val="20"/>
              </w:rPr>
              <w:t>adăug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.,</w:t>
            </w:r>
            <w:proofErr w:type="gram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București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Editura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Hamangiu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2014.</w:t>
            </w:r>
          </w:p>
          <w:p w:rsidR="008A65CD" w:rsidRPr="00DA13C9" w:rsidRDefault="008A65CD" w:rsidP="008A65CD">
            <w:pPr>
              <w:pStyle w:val="Body"/>
              <w:numPr>
                <w:ilvl w:val="0"/>
                <w:numId w:val="14"/>
              </w:numPr>
              <w:tabs>
                <w:tab w:val="left" w:pos="425"/>
              </w:tabs>
              <w:ind w:left="426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Serbenco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, Eduard.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Îndrumar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metodic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la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discip</w:t>
            </w:r>
            <w:bookmarkStart w:id="0" w:name="_GoBack"/>
            <w:bookmarkEnd w:id="0"/>
            <w:r w:rsidRPr="00DA13C9">
              <w:rPr>
                <w:rFonts w:ascii="Times New Roman" w:hAnsi="Times New Roman"/>
                <w:color w:val="auto"/>
                <w:sz w:val="20"/>
              </w:rPr>
              <w:t>lina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drept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internațional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public,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Chișinău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Tipografia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A13C9">
              <w:rPr>
                <w:rFonts w:ascii="Times New Roman" w:hAnsi="Times New Roman"/>
                <w:color w:val="auto"/>
                <w:sz w:val="20"/>
              </w:rPr>
              <w:t>Centrală</w:t>
            </w:r>
            <w:proofErr w:type="spellEnd"/>
            <w:r w:rsidRPr="00DA13C9">
              <w:rPr>
                <w:rFonts w:ascii="Times New Roman" w:hAnsi="Times New Roman"/>
                <w:color w:val="auto"/>
                <w:sz w:val="20"/>
              </w:rPr>
              <w:t>, 2016.</w:t>
            </w:r>
          </w:p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</w:tr>
    </w:tbl>
    <w:p w:rsidR="00A0484C" w:rsidRDefault="00A0484C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A0484C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9. Coroborarea conţinuturilor disciplinei cu aşteptările reprezentanţilor comunităţii epistemice, asociaţiilor</w:t>
            </w:r>
            <w:r>
              <w:rPr>
                <w:b/>
                <w:sz w:val="20"/>
                <w:lang w:val="ro-RO"/>
              </w:rPr>
              <w:t xml:space="preserve"> profesionale şi angajatori reprezentativi din domeniul aferent programului</w:t>
            </w:r>
          </w:p>
        </w:tc>
      </w:tr>
      <w:tr w:rsidR="00A0484C">
        <w:trPr>
          <w:trHeight w:val="4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6F2A88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S-a asigurat concordanţa cu cerinţele </w:t>
            </w:r>
            <w:r>
              <w:rPr>
                <w:sz w:val="20"/>
                <w:lang w:val="ro-RO"/>
              </w:rPr>
              <w:t xml:space="preserve">politicilor </w:t>
            </w:r>
            <w:r>
              <w:rPr>
                <w:sz w:val="20"/>
                <w:lang w:val="ro-RO"/>
              </w:rPr>
              <w:t xml:space="preserve">atît din România, cît şi din Republica Moldova, potrivit </w:t>
            </w:r>
            <w:r>
              <w:rPr>
                <w:sz w:val="20"/>
                <w:lang w:val="ro-RO"/>
              </w:rPr>
              <w:t xml:space="preserve">exigențelor </w:t>
            </w:r>
            <w:r>
              <w:rPr>
                <w:sz w:val="20"/>
                <w:lang w:val="ro-RO"/>
              </w:rPr>
              <w:t xml:space="preserve">şi standardelor Uniunii Europene sub aspectul </w:t>
            </w:r>
            <w:r>
              <w:rPr>
                <w:sz w:val="20"/>
                <w:lang w:val="ro-RO"/>
              </w:rPr>
              <w:t xml:space="preserve">dreptului </w:t>
            </w:r>
            <w:r>
              <w:rPr>
                <w:sz w:val="20"/>
                <w:lang w:val="ro-RO"/>
              </w:rPr>
              <w:t>internațional și relațiile internaționale</w:t>
            </w:r>
            <w:r>
              <w:rPr>
                <w:sz w:val="20"/>
                <w:lang w:val="ro-RO"/>
              </w:rPr>
              <w:t>.</w:t>
            </w:r>
            <w:r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>Conținuturile disciplinei au fost corelate așteptărilor angajatorilor și asociațiilor profesionale în domeniu aferent programului de studiu</w:t>
            </w:r>
            <w:r>
              <w:rPr>
                <w:sz w:val="20"/>
                <w:lang w:val="ro-RO"/>
              </w:rPr>
              <w:t>.</w:t>
            </w: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3600"/>
        <w:gridCol w:w="1440"/>
      </w:tblGrid>
      <w:tr w:rsidR="00A0484C">
        <w:trPr>
          <w:trHeight w:val="232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10. Evaluare</w:t>
            </w:r>
          </w:p>
        </w:tc>
      </w:tr>
      <w:tr w:rsidR="00A0484C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Tip activitate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10.1 Criterii de evaluare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10.2 Metode de</w:t>
            </w:r>
            <w:r>
              <w:rPr>
                <w:sz w:val="20"/>
                <w:lang w:val="ro-RO"/>
              </w:rPr>
              <w:t xml:space="preserve">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10.3 Pondere din nota finală</w:t>
            </w:r>
          </w:p>
        </w:tc>
      </w:tr>
      <w:tr w:rsidR="00A0484C">
        <w:trPr>
          <w:trHeight w:val="1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10.4 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 xml:space="preserve">Examen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50%</w:t>
            </w:r>
          </w:p>
        </w:tc>
      </w:tr>
      <w:tr w:rsidR="00A0484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trHeight w:val="1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10.5 Seminar/laborator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Evaluarea continuă, potrivit tematicii seminarelot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50%</w:t>
            </w:r>
          </w:p>
        </w:tc>
      </w:tr>
      <w:tr w:rsidR="00A0484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A0484C">
        <w:trPr>
          <w:trHeight w:val="17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10.6 Standard minim de performanţă</w:t>
            </w:r>
          </w:p>
        </w:tc>
      </w:tr>
      <w:tr w:rsidR="00A0484C">
        <w:trPr>
          <w:trHeight w:val="471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C" w:rsidRPr="008A65CD" w:rsidRDefault="006F2A88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8A65CD">
              <w:rPr>
                <w:sz w:val="20"/>
                <w:lang w:val="ro-RO"/>
              </w:rPr>
              <w:t>Aprecierea activității la seminare minim cu nota ”5”.</w:t>
            </w:r>
          </w:p>
          <w:p w:rsidR="00A0484C" w:rsidRPr="008A65CD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:rsidR="00A0484C" w:rsidRDefault="00A0484C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448"/>
        <w:gridCol w:w="1980"/>
        <w:gridCol w:w="1800"/>
        <w:gridCol w:w="3420"/>
      </w:tblGrid>
      <w:tr w:rsidR="00A0484C">
        <w:tc>
          <w:tcPr>
            <w:tcW w:w="2448" w:type="dxa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A0484C">
        <w:tc>
          <w:tcPr>
            <w:tcW w:w="2448" w:type="dxa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A0484C">
        <w:tc>
          <w:tcPr>
            <w:tcW w:w="2448" w:type="dxa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A0484C">
        <w:trPr>
          <w:trHeight w:val="258"/>
        </w:trPr>
        <w:tc>
          <w:tcPr>
            <w:tcW w:w="4428" w:type="dxa"/>
            <w:gridSpan w:val="2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Semnătura directorului  de departament</w:t>
            </w:r>
          </w:p>
        </w:tc>
      </w:tr>
      <w:tr w:rsidR="00A0484C">
        <w:tc>
          <w:tcPr>
            <w:tcW w:w="4428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A0484C">
        <w:tc>
          <w:tcPr>
            <w:tcW w:w="4428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A0484C">
        <w:tc>
          <w:tcPr>
            <w:tcW w:w="4428" w:type="dxa"/>
            <w:gridSpan w:val="2"/>
          </w:tcPr>
          <w:p w:rsidR="00A0484C" w:rsidRDefault="006F2A88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  <w:r>
              <w:rPr>
                <w:color w:val="BFBFBF" w:themeColor="background1" w:themeShade="BF"/>
                <w:sz w:val="22"/>
                <w:lang w:val="ro-RO"/>
              </w:rPr>
              <w:t>Data aprobării în Consiliul Facultății</w:t>
            </w:r>
            <w:r>
              <w:rPr>
                <w:color w:val="BFBFBF" w:themeColor="background1" w:themeShade="BF"/>
                <w:sz w:val="22"/>
                <w:vertAlign w:val="superscript"/>
                <w:lang w:val="ro-RO"/>
              </w:rPr>
              <w:t>1</w:t>
            </w:r>
            <w:r>
              <w:rPr>
                <w:color w:val="BFBFBF" w:themeColor="background1" w:themeShade="BF"/>
                <w:sz w:val="22"/>
                <w:lang w:val="ro-RO"/>
              </w:rPr>
              <w:t xml:space="preserve"> </w:t>
            </w:r>
          </w:p>
        </w:tc>
        <w:tc>
          <w:tcPr>
            <w:tcW w:w="5220" w:type="dxa"/>
            <w:gridSpan w:val="2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  <w:tr w:rsidR="00A0484C">
        <w:tc>
          <w:tcPr>
            <w:tcW w:w="9648" w:type="dxa"/>
            <w:gridSpan w:val="4"/>
          </w:tcPr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A0484C" w:rsidRDefault="00A0484C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</w:tbl>
    <w:p w:rsidR="00A0484C" w:rsidRDefault="00A0484C">
      <w:pPr>
        <w:pStyle w:val="a6"/>
        <w:spacing w:after="0" w:line="280" w:lineRule="exact"/>
        <w:ind w:left="0"/>
        <w:rPr>
          <w:rFonts w:ascii="Arial Narrow" w:hAnsi="Arial Narrow"/>
          <w:sz w:val="22"/>
          <w:szCs w:val="22"/>
          <w:lang w:val="ro-RO"/>
        </w:rPr>
      </w:pPr>
    </w:p>
    <w:p w:rsidR="00A0484C" w:rsidRDefault="00A0484C">
      <w:pPr>
        <w:rPr>
          <w:lang w:val="it-IT"/>
        </w:rPr>
      </w:pPr>
    </w:p>
    <w:sectPr w:rsidR="00A04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88" w:rsidRDefault="006F2A88">
      <w:pPr>
        <w:spacing w:line="240" w:lineRule="auto"/>
      </w:pPr>
      <w:r>
        <w:separator/>
      </w:r>
    </w:p>
  </w:endnote>
  <w:endnote w:type="continuationSeparator" w:id="0">
    <w:p w:rsidR="006F2A88" w:rsidRDefault="006F2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88" w:rsidRDefault="006F2A88">
      <w:pPr>
        <w:spacing w:line="240" w:lineRule="auto"/>
      </w:pPr>
      <w:r>
        <w:separator/>
      </w:r>
    </w:p>
  </w:footnote>
  <w:footnote w:type="continuationSeparator" w:id="0">
    <w:p w:rsidR="006F2A88" w:rsidRDefault="006F2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51DF0"/>
    <w:multiLevelType w:val="singleLevel"/>
    <w:tmpl w:val="88151DF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28F6606"/>
    <w:multiLevelType w:val="hybridMultilevel"/>
    <w:tmpl w:val="7AAE0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94A"/>
    <w:multiLevelType w:val="multilevel"/>
    <w:tmpl w:val="13FF5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9411B75"/>
    <w:multiLevelType w:val="multilevel"/>
    <w:tmpl w:val="19411B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C59F28"/>
    <w:multiLevelType w:val="singleLevel"/>
    <w:tmpl w:val="26C59F28"/>
    <w:lvl w:ilvl="0">
      <w:start w:val="1"/>
      <w:numFmt w:val="decimal"/>
      <w:suff w:val="space"/>
      <w:lvlText w:val="%1."/>
      <w:lvlJc w:val="left"/>
    </w:lvl>
  </w:abstractNum>
  <w:abstractNum w:abstractNumId="5">
    <w:nsid w:val="2D670134"/>
    <w:multiLevelType w:val="multilevel"/>
    <w:tmpl w:val="2D67013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04213D"/>
    <w:multiLevelType w:val="hybridMultilevel"/>
    <w:tmpl w:val="72663318"/>
    <w:lvl w:ilvl="0" w:tplc="739CC7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D2A7F"/>
    <w:multiLevelType w:val="hybridMultilevel"/>
    <w:tmpl w:val="01D0E76E"/>
    <w:lvl w:ilvl="0" w:tplc="C7021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165D3"/>
    <w:multiLevelType w:val="hybridMultilevel"/>
    <w:tmpl w:val="1CBE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F47E2"/>
    <w:multiLevelType w:val="hybridMultilevel"/>
    <w:tmpl w:val="E3DC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81A5"/>
    <w:multiLevelType w:val="multilevel"/>
    <w:tmpl w:val="51AF81A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6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1">
    <w:nsid w:val="5F7725A5"/>
    <w:multiLevelType w:val="multilevel"/>
    <w:tmpl w:val="5F7725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2"/>
    <w:rsid w:val="00173DC2"/>
    <w:rsid w:val="00273CD2"/>
    <w:rsid w:val="003D76DF"/>
    <w:rsid w:val="00493FED"/>
    <w:rsid w:val="00501DA5"/>
    <w:rsid w:val="006F1F63"/>
    <w:rsid w:val="006F2A88"/>
    <w:rsid w:val="008A65CD"/>
    <w:rsid w:val="008B49AE"/>
    <w:rsid w:val="0092336D"/>
    <w:rsid w:val="00A0484C"/>
    <w:rsid w:val="00CA7234"/>
    <w:rsid w:val="00DA13C9"/>
    <w:rsid w:val="0D1B3FDB"/>
    <w:rsid w:val="193C4CF6"/>
    <w:rsid w:val="19FB5C89"/>
    <w:rsid w:val="4C2A3E71"/>
    <w:rsid w:val="7FE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unhideWhenUsed/>
    <w:qFormat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6">
    <w:name w:val="l6"/>
    <w:qFormat/>
    <w:rPr>
      <w:color w:val="000000"/>
      <w:sz w:val="20"/>
    </w:rPr>
  </w:style>
  <w:style w:type="paragraph" w:customStyle="1" w:styleId="Body">
    <w:name w:val="Body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a8">
    <w:name w:val="No Spacing"/>
    <w:uiPriority w:val="99"/>
    <w:qFormat/>
    <w:rsid w:val="008A65CD"/>
    <w:rPr>
      <w:rFonts w:ascii="Calibri" w:hAnsi="Calibri"/>
      <w:sz w:val="22"/>
      <w:szCs w:val="22"/>
      <w:lang w:val="ro-RO" w:eastAsia="zh-CN"/>
    </w:rPr>
  </w:style>
  <w:style w:type="paragraph" w:styleId="a9">
    <w:name w:val="List Paragraph"/>
    <w:basedOn w:val="a"/>
    <w:uiPriority w:val="99"/>
    <w:unhideWhenUsed/>
    <w:rsid w:val="008A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unhideWhenUsed/>
    <w:qFormat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6">
    <w:name w:val="l6"/>
    <w:qFormat/>
    <w:rPr>
      <w:color w:val="000000"/>
      <w:sz w:val="20"/>
    </w:rPr>
  </w:style>
  <w:style w:type="paragraph" w:customStyle="1" w:styleId="Body">
    <w:name w:val="Body"/>
    <w:qFormat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a8">
    <w:name w:val="No Spacing"/>
    <w:uiPriority w:val="99"/>
    <w:qFormat/>
    <w:rsid w:val="008A65CD"/>
    <w:rPr>
      <w:rFonts w:ascii="Calibri" w:hAnsi="Calibri"/>
      <w:sz w:val="22"/>
      <w:szCs w:val="22"/>
      <w:lang w:val="ro-RO" w:eastAsia="zh-CN"/>
    </w:rPr>
  </w:style>
  <w:style w:type="paragraph" w:styleId="a9">
    <w:name w:val="List Paragraph"/>
    <w:basedOn w:val="a"/>
    <w:uiPriority w:val="99"/>
    <w:unhideWhenUsed/>
    <w:rsid w:val="008A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1F82-1129-4959-AA70-00EC4F0E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Mereuță</dc:creator>
  <cp:lastModifiedBy>Desktop</cp:lastModifiedBy>
  <cp:revision>8</cp:revision>
  <dcterms:created xsi:type="dcterms:W3CDTF">2024-03-13T08:32:00Z</dcterms:created>
  <dcterms:modified xsi:type="dcterms:W3CDTF">2024-04-16T07:55:00Z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8C5803D195154E7495D826028AEA5D01</vt:lpwstr>
  </property>
</Properties>
</file>